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outlineLvl w:val="0"/>
        <w:rPr>
          <w:rFonts w:ascii="方正小标宋简体" w:hAnsi="宋体" w:eastAsia="方正小标宋简体"/>
          <w:color w:val="000000"/>
          <w:sz w:val="24"/>
        </w:rPr>
      </w:pPr>
      <w:bookmarkStart w:id="0" w:name="_Toc15306267"/>
    </w:p>
    <w:p>
      <w:pPr>
        <w:spacing w:line="360" w:lineRule="auto"/>
        <w:outlineLvl w:val="0"/>
        <w:rPr>
          <w:rFonts w:ascii="方正小标宋简体" w:hAnsi="宋体" w:eastAsia="方正小标宋简体"/>
          <w:color w:val="000000"/>
          <w:sz w:val="24"/>
        </w:rPr>
      </w:pPr>
    </w:p>
    <w:p>
      <w:pPr>
        <w:adjustRightInd w:val="0"/>
        <w:snapToGrid w:val="0"/>
        <w:spacing w:line="360" w:lineRule="auto"/>
        <w:jc w:val="center"/>
        <w:outlineLvl w:val="0"/>
        <w:rPr>
          <w:rFonts w:hint="eastAsia" w:ascii="方正小标宋简体" w:hAnsi="方正小标宋简体" w:eastAsia="方正小标宋简体" w:cs="方正小标宋简体"/>
          <w:color w:val="000000"/>
          <w:sz w:val="84"/>
          <w:szCs w:val="84"/>
        </w:rPr>
      </w:pPr>
      <w:bookmarkStart w:id="1" w:name="_Toc15396475"/>
      <w:bookmarkStart w:id="2" w:name="_Toc15377193"/>
      <w:bookmarkStart w:id="3" w:name="_Toc15377425"/>
      <w:bookmarkStart w:id="4" w:name="_Toc15396597"/>
      <w:bookmarkStart w:id="5" w:name="_Toc15378441"/>
      <w:r>
        <w:rPr>
          <w:rFonts w:hint="eastAsia" w:ascii="方正小标宋简体" w:hAnsi="方正小标宋简体" w:eastAsia="方正小标宋简体" w:cs="方正小标宋简体"/>
          <w:color w:val="000000"/>
          <w:sz w:val="84"/>
          <w:szCs w:val="84"/>
        </w:rPr>
        <w:t>2019年度</w:t>
      </w:r>
      <w:bookmarkEnd w:id="1"/>
      <w:bookmarkEnd w:id="2"/>
      <w:bookmarkEnd w:id="3"/>
      <w:bookmarkEnd w:id="4"/>
      <w:bookmarkEnd w:id="5"/>
      <w:bookmarkStart w:id="6" w:name="_Toc15377426"/>
      <w:bookmarkStart w:id="7" w:name="_Toc15377194"/>
      <w:bookmarkStart w:id="8" w:name="_Toc15396476"/>
      <w:bookmarkStart w:id="9" w:name="_Toc15396598"/>
      <w:bookmarkStart w:id="10" w:name="_Toc15378442"/>
    </w:p>
    <w:p>
      <w:pPr>
        <w:adjustRightInd w:val="0"/>
        <w:snapToGrid w:val="0"/>
        <w:spacing w:line="360" w:lineRule="auto"/>
        <w:jc w:val="center"/>
        <w:outlineLvl w:val="0"/>
        <w:rPr>
          <w:rFonts w:hint="eastAsia" w:ascii="方正小标宋简体" w:hAnsi="方正小标宋简体" w:eastAsia="方正小标宋简体" w:cs="方正小标宋简体"/>
          <w:color w:val="000000"/>
          <w:sz w:val="84"/>
          <w:szCs w:val="84"/>
        </w:rPr>
      </w:pPr>
      <w:r>
        <w:rPr>
          <w:rFonts w:hint="eastAsia" w:ascii="方正小标宋简体" w:hAnsi="方正小标宋简体" w:eastAsia="方正小标宋简体" w:cs="方正小标宋简体"/>
          <w:color w:val="000000"/>
          <w:sz w:val="84"/>
          <w:szCs w:val="84"/>
        </w:rPr>
        <w:t>广元市</w:t>
      </w:r>
      <w:bookmarkEnd w:id="0"/>
      <w:bookmarkStart w:id="11" w:name="_Toc15306268"/>
      <w:r>
        <w:rPr>
          <w:rFonts w:hint="eastAsia" w:ascii="方正小标宋简体" w:hAnsi="方正小标宋简体" w:eastAsia="方正小标宋简体" w:cs="方正小标宋简体"/>
          <w:color w:val="000000"/>
          <w:sz w:val="84"/>
          <w:szCs w:val="84"/>
        </w:rPr>
        <w:t>妇女联合会</w:t>
      </w:r>
    </w:p>
    <w:p>
      <w:pPr>
        <w:adjustRightInd w:val="0"/>
        <w:snapToGrid w:val="0"/>
        <w:spacing w:line="360" w:lineRule="auto"/>
        <w:jc w:val="center"/>
        <w:outlineLvl w:val="0"/>
        <w:rPr>
          <w:rFonts w:hint="eastAsia" w:ascii="方正小标宋简体" w:hAnsi="方正小标宋简体" w:eastAsia="方正小标宋简体" w:cs="方正小标宋简体"/>
          <w:color w:val="000000"/>
          <w:sz w:val="84"/>
          <w:szCs w:val="84"/>
        </w:rPr>
      </w:pPr>
      <w:r>
        <w:rPr>
          <w:rFonts w:hint="eastAsia" w:ascii="方正小标宋简体" w:hAnsi="方正小标宋简体" w:eastAsia="方正小标宋简体" w:cs="方正小标宋简体"/>
          <w:color w:val="000000"/>
          <w:sz w:val="84"/>
          <w:szCs w:val="84"/>
        </w:rPr>
        <w:t>部门决算</w:t>
      </w:r>
      <w:bookmarkEnd w:id="6"/>
      <w:bookmarkEnd w:id="7"/>
      <w:bookmarkEnd w:id="8"/>
      <w:bookmarkEnd w:id="9"/>
      <w:bookmarkEnd w:id="10"/>
      <w:bookmarkEnd w:id="11"/>
    </w:p>
    <w:p>
      <w:pPr>
        <w:widowControl/>
        <w:spacing w:line="360" w:lineRule="auto"/>
        <w:jc w:val="center"/>
        <w:rPr>
          <w:rFonts w:hint="eastAsia" w:ascii="黑体" w:hAnsi="黑体" w:eastAsia="黑体"/>
          <w:b w:val="0"/>
          <w:bCs/>
          <w:color w:val="000000"/>
          <w:sz w:val="32"/>
          <w:szCs w:val="32"/>
        </w:rPr>
      </w:pPr>
    </w:p>
    <w:p>
      <w:pPr>
        <w:widowControl/>
        <w:spacing w:line="360" w:lineRule="auto"/>
        <w:jc w:val="center"/>
        <w:rPr>
          <w:rFonts w:hint="eastAsia" w:ascii="黑体" w:hAnsi="黑体" w:eastAsia="黑体"/>
          <w:b w:val="0"/>
          <w:bCs/>
          <w:color w:val="000000"/>
          <w:sz w:val="32"/>
          <w:szCs w:val="32"/>
        </w:rPr>
      </w:pPr>
    </w:p>
    <w:p>
      <w:pPr>
        <w:widowControl/>
        <w:spacing w:line="360" w:lineRule="auto"/>
        <w:jc w:val="center"/>
        <w:rPr>
          <w:rFonts w:hint="eastAsia" w:ascii="黑体" w:hAnsi="黑体" w:eastAsia="黑体"/>
          <w:b w:val="0"/>
          <w:bCs/>
          <w:color w:val="000000"/>
          <w:sz w:val="32"/>
          <w:szCs w:val="32"/>
        </w:rPr>
      </w:pPr>
    </w:p>
    <w:p>
      <w:pPr>
        <w:widowControl/>
        <w:spacing w:line="360" w:lineRule="auto"/>
        <w:jc w:val="center"/>
        <w:rPr>
          <w:rFonts w:hint="eastAsia" w:ascii="黑体" w:hAnsi="黑体" w:eastAsia="黑体"/>
          <w:b w:val="0"/>
          <w:bCs/>
          <w:color w:val="000000"/>
          <w:sz w:val="32"/>
          <w:szCs w:val="32"/>
        </w:rPr>
      </w:pPr>
    </w:p>
    <w:p>
      <w:pPr>
        <w:widowControl/>
        <w:spacing w:line="360" w:lineRule="auto"/>
        <w:jc w:val="center"/>
        <w:rPr>
          <w:rFonts w:hint="eastAsia" w:ascii="黑体" w:hAnsi="黑体" w:eastAsia="黑体"/>
          <w:b w:val="0"/>
          <w:bCs/>
          <w:color w:val="000000"/>
          <w:sz w:val="32"/>
          <w:szCs w:val="32"/>
        </w:rPr>
      </w:pPr>
    </w:p>
    <w:p>
      <w:pPr>
        <w:widowControl/>
        <w:spacing w:line="360" w:lineRule="auto"/>
        <w:jc w:val="center"/>
        <w:rPr>
          <w:rFonts w:hint="eastAsia" w:ascii="黑体" w:hAnsi="黑体" w:eastAsia="黑体"/>
          <w:b w:val="0"/>
          <w:bCs/>
          <w:color w:val="000000"/>
          <w:sz w:val="32"/>
          <w:szCs w:val="32"/>
        </w:rPr>
      </w:pPr>
    </w:p>
    <w:p>
      <w:pPr>
        <w:widowControl/>
        <w:spacing w:line="360" w:lineRule="auto"/>
        <w:jc w:val="center"/>
        <w:rPr>
          <w:rFonts w:hint="eastAsia" w:ascii="黑体" w:hAnsi="黑体" w:eastAsia="黑体"/>
          <w:b w:val="0"/>
          <w:bCs/>
          <w:color w:val="000000"/>
          <w:sz w:val="32"/>
          <w:szCs w:val="32"/>
        </w:rPr>
      </w:pPr>
    </w:p>
    <w:p>
      <w:pPr>
        <w:widowControl/>
        <w:spacing w:line="360" w:lineRule="auto"/>
        <w:jc w:val="center"/>
        <w:rPr>
          <w:rFonts w:hint="eastAsia" w:ascii="黑体" w:hAnsi="黑体" w:eastAsia="黑体"/>
          <w:b w:val="0"/>
          <w:bCs/>
          <w:color w:val="000000"/>
          <w:sz w:val="32"/>
          <w:szCs w:val="32"/>
        </w:rPr>
      </w:pPr>
    </w:p>
    <w:p>
      <w:pPr>
        <w:widowControl/>
        <w:spacing w:line="360" w:lineRule="auto"/>
        <w:jc w:val="both"/>
        <w:rPr>
          <w:rFonts w:hint="eastAsia" w:ascii="黑体" w:hAnsi="黑体" w:eastAsia="黑体"/>
          <w:b w:val="0"/>
          <w:bCs/>
          <w:color w:val="000000"/>
          <w:sz w:val="32"/>
          <w:szCs w:val="32"/>
        </w:rPr>
      </w:pPr>
    </w:p>
    <w:p>
      <w:pPr>
        <w:widowControl/>
        <w:spacing w:line="360" w:lineRule="auto"/>
        <w:jc w:val="center"/>
        <w:rPr>
          <w:rFonts w:ascii="黑体" w:hAnsi="黑体" w:eastAsia="黑体"/>
          <w:b w:val="0"/>
          <w:bCs/>
          <w:color w:val="000000"/>
          <w:sz w:val="32"/>
          <w:szCs w:val="32"/>
        </w:rPr>
      </w:pPr>
      <w:r>
        <w:rPr>
          <w:rFonts w:hint="eastAsia" w:ascii="黑体" w:hAnsi="黑体" w:eastAsia="黑体"/>
          <w:b w:val="0"/>
          <w:bCs/>
          <w:color w:val="000000"/>
          <w:sz w:val="32"/>
          <w:szCs w:val="32"/>
        </w:rPr>
        <w:t>目     录</w:t>
      </w:r>
    </w:p>
    <w:p>
      <w:pPr>
        <w:keepNext w:val="0"/>
        <w:keepLines w:val="0"/>
        <w:pageBreakBefore w:val="0"/>
        <w:kinsoku/>
        <w:wordWrap/>
        <w:overflowPunct/>
        <w:topLinePunct w:val="0"/>
        <w:autoSpaceDE/>
        <w:autoSpaceDN/>
        <w:bidi w:val="0"/>
        <w:spacing w:line="560" w:lineRule="exact"/>
        <w:ind w:left="0"/>
        <w:textAlignment w:val="auto"/>
        <w:rPr>
          <w:rFonts w:asciiTheme="majorEastAsia" w:hAnsiTheme="majorEastAsia" w:eastAsiaTheme="majorEastAsia"/>
          <w:sz w:val="24"/>
        </w:rPr>
      </w:pPr>
    </w:p>
    <w:p>
      <w:pPr>
        <w:pStyle w:val="13"/>
        <w:keepNext w:val="0"/>
        <w:keepLines w:val="0"/>
        <w:pageBreakBefore w:val="0"/>
        <w:widowControl w:val="0"/>
        <w:kinsoku/>
        <w:wordWrap/>
        <w:overflowPunct/>
        <w:topLinePunct w:val="0"/>
        <w:autoSpaceDE/>
        <w:autoSpaceDN/>
        <w:bidi w:val="0"/>
        <w:adjustRightInd w:val="0"/>
        <w:snapToGrid w:val="0"/>
        <w:spacing w:before="0" w:after="0" w:line="576" w:lineRule="exact"/>
        <w:ind w:left="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第一部分部门概况</w:t>
      </w:r>
    </w:p>
    <w:p>
      <w:pPr>
        <w:pStyle w:val="16"/>
        <w:keepNext w:val="0"/>
        <w:keepLines w:val="0"/>
        <w:pageBreakBefore w:val="0"/>
        <w:widowControl w:val="0"/>
        <w:kinsoku/>
        <w:wordWrap/>
        <w:overflowPunct/>
        <w:topLinePunct w:val="0"/>
        <w:autoSpaceDE/>
        <w:autoSpaceDN/>
        <w:bidi w:val="0"/>
        <w:adjustRightInd w:val="0"/>
        <w:snapToGrid w:val="0"/>
        <w:spacing w:before="0" w:line="576" w:lineRule="exact"/>
        <w:ind w:left="0" w:firstLine="640" w:firstLineChars="200"/>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一、基本职能及主要工作</w:t>
      </w:r>
    </w:p>
    <w:p>
      <w:pPr>
        <w:pStyle w:val="16"/>
        <w:keepNext w:val="0"/>
        <w:keepLines w:val="0"/>
        <w:pageBreakBefore w:val="0"/>
        <w:widowControl w:val="0"/>
        <w:kinsoku/>
        <w:wordWrap/>
        <w:overflowPunct/>
        <w:topLinePunct w:val="0"/>
        <w:autoSpaceDE/>
        <w:autoSpaceDN/>
        <w:bidi w:val="0"/>
        <w:adjustRightInd w:val="0"/>
        <w:snapToGrid w:val="0"/>
        <w:spacing w:before="0" w:line="576" w:lineRule="exact"/>
        <w:ind w:left="0" w:firstLine="640" w:firstLineChars="200"/>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二、机构设置</w:t>
      </w:r>
    </w:p>
    <w:p>
      <w:pPr>
        <w:pStyle w:val="13"/>
        <w:keepNext w:val="0"/>
        <w:keepLines w:val="0"/>
        <w:pageBreakBefore w:val="0"/>
        <w:widowControl w:val="0"/>
        <w:kinsoku/>
        <w:wordWrap/>
        <w:overflowPunct/>
        <w:topLinePunct w:val="0"/>
        <w:autoSpaceDE/>
        <w:autoSpaceDN/>
        <w:bidi w:val="0"/>
        <w:adjustRightInd w:val="0"/>
        <w:snapToGrid w:val="0"/>
        <w:spacing w:before="0" w:after="0" w:line="576"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第二部分 2019年度部门决算情况说明</w:t>
      </w:r>
    </w:p>
    <w:p>
      <w:pPr>
        <w:pStyle w:val="16"/>
        <w:keepNext w:val="0"/>
        <w:keepLines w:val="0"/>
        <w:pageBreakBefore w:val="0"/>
        <w:widowControl w:val="0"/>
        <w:kinsoku/>
        <w:wordWrap/>
        <w:overflowPunct/>
        <w:topLinePunct w:val="0"/>
        <w:autoSpaceDE/>
        <w:autoSpaceDN/>
        <w:bidi w:val="0"/>
        <w:adjustRightInd w:val="0"/>
        <w:snapToGrid w:val="0"/>
        <w:spacing w:before="0" w:line="576" w:lineRule="exact"/>
        <w:ind w:left="0" w:firstLine="640" w:firstLineChars="200"/>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一、收入支出决算总体情况说明</w:t>
      </w:r>
    </w:p>
    <w:p>
      <w:pPr>
        <w:pStyle w:val="16"/>
        <w:keepNext w:val="0"/>
        <w:keepLines w:val="0"/>
        <w:pageBreakBefore w:val="0"/>
        <w:widowControl w:val="0"/>
        <w:kinsoku/>
        <w:wordWrap/>
        <w:overflowPunct/>
        <w:topLinePunct w:val="0"/>
        <w:autoSpaceDE/>
        <w:autoSpaceDN/>
        <w:bidi w:val="0"/>
        <w:adjustRightInd w:val="0"/>
        <w:snapToGrid w:val="0"/>
        <w:spacing w:before="0" w:line="576" w:lineRule="exact"/>
        <w:ind w:left="0" w:firstLine="640" w:firstLineChars="200"/>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二、收入决算情况说明</w:t>
      </w:r>
    </w:p>
    <w:p>
      <w:pPr>
        <w:pStyle w:val="16"/>
        <w:keepNext w:val="0"/>
        <w:keepLines w:val="0"/>
        <w:pageBreakBefore w:val="0"/>
        <w:widowControl w:val="0"/>
        <w:kinsoku/>
        <w:wordWrap/>
        <w:overflowPunct/>
        <w:topLinePunct w:val="0"/>
        <w:autoSpaceDE/>
        <w:autoSpaceDN/>
        <w:bidi w:val="0"/>
        <w:adjustRightInd w:val="0"/>
        <w:snapToGrid w:val="0"/>
        <w:spacing w:before="0" w:line="576" w:lineRule="exact"/>
        <w:ind w:left="0" w:firstLine="640" w:firstLineChars="200"/>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三、支出决算情况说明</w:t>
      </w:r>
    </w:p>
    <w:p>
      <w:pPr>
        <w:pStyle w:val="16"/>
        <w:keepNext w:val="0"/>
        <w:keepLines w:val="0"/>
        <w:pageBreakBefore w:val="0"/>
        <w:widowControl w:val="0"/>
        <w:kinsoku/>
        <w:wordWrap/>
        <w:overflowPunct/>
        <w:topLinePunct w:val="0"/>
        <w:autoSpaceDE/>
        <w:autoSpaceDN/>
        <w:bidi w:val="0"/>
        <w:adjustRightInd w:val="0"/>
        <w:snapToGrid w:val="0"/>
        <w:spacing w:before="0" w:line="576" w:lineRule="exact"/>
        <w:ind w:left="0" w:firstLine="640" w:firstLineChars="200"/>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四、财政拨款收入支出决算总体情况说明</w:t>
      </w:r>
    </w:p>
    <w:p>
      <w:pPr>
        <w:pStyle w:val="16"/>
        <w:keepNext w:val="0"/>
        <w:keepLines w:val="0"/>
        <w:pageBreakBefore w:val="0"/>
        <w:widowControl w:val="0"/>
        <w:kinsoku/>
        <w:wordWrap/>
        <w:overflowPunct/>
        <w:topLinePunct w:val="0"/>
        <w:autoSpaceDE/>
        <w:autoSpaceDN/>
        <w:bidi w:val="0"/>
        <w:adjustRightInd w:val="0"/>
        <w:snapToGrid w:val="0"/>
        <w:spacing w:before="0" w:line="576" w:lineRule="exact"/>
        <w:ind w:left="0" w:firstLine="640" w:firstLineChars="200"/>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五、一般公共预算财政拨款支出决算情况说明</w:t>
      </w:r>
    </w:p>
    <w:p>
      <w:pPr>
        <w:pStyle w:val="16"/>
        <w:keepNext w:val="0"/>
        <w:keepLines w:val="0"/>
        <w:pageBreakBefore w:val="0"/>
        <w:widowControl w:val="0"/>
        <w:kinsoku/>
        <w:wordWrap/>
        <w:overflowPunct/>
        <w:topLinePunct w:val="0"/>
        <w:autoSpaceDE/>
        <w:autoSpaceDN/>
        <w:bidi w:val="0"/>
        <w:adjustRightInd w:val="0"/>
        <w:snapToGrid w:val="0"/>
        <w:spacing w:before="0" w:line="576" w:lineRule="exact"/>
        <w:ind w:left="0" w:firstLine="640" w:firstLineChars="200"/>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六、一般公共预算财政拨款基本支出决算情况说明</w:t>
      </w:r>
    </w:p>
    <w:p>
      <w:pPr>
        <w:pStyle w:val="16"/>
        <w:keepNext w:val="0"/>
        <w:keepLines w:val="0"/>
        <w:pageBreakBefore w:val="0"/>
        <w:widowControl w:val="0"/>
        <w:kinsoku/>
        <w:wordWrap/>
        <w:overflowPunct/>
        <w:topLinePunct w:val="0"/>
        <w:autoSpaceDE/>
        <w:autoSpaceDN/>
        <w:bidi w:val="0"/>
        <w:adjustRightInd w:val="0"/>
        <w:snapToGrid w:val="0"/>
        <w:spacing w:before="0" w:line="576" w:lineRule="exact"/>
        <w:ind w:left="0" w:firstLine="640" w:firstLineChars="200"/>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七、“三公”经费财政拨款支出决算情况说明</w:t>
      </w:r>
    </w:p>
    <w:p>
      <w:pPr>
        <w:pStyle w:val="16"/>
        <w:keepNext w:val="0"/>
        <w:keepLines w:val="0"/>
        <w:pageBreakBefore w:val="0"/>
        <w:widowControl w:val="0"/>
        <w:kinsoku/>
        <w:wordWrap/>
        <w:overflowPunct/>
        <w:topLinePunct w:val="0"/>
        <w:autoSpaceDE/>
        <w:autoSpaceDN/>
        <w:bidi w:val="0"/>
        <w:adjustRightInd w:val="0"/>
        <w:snapToGrid w:val="0"/>
        <w:spacing w:before="0" w:line="576" w:lineRule="exact"/>
        <w:ind w:left="0" w:firstLine="640" w:firstLineChars="200"/>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八、政府性基金预算支出决算情况说明</w:t>
      </w:r>
    </w:p>
    <w:p>
      <w:pPr>
        <w:pStyle w:val="16"/>
        <w:keepNext w:val="0"/>
        <w:keepLines w:val="0"/>
        <w:pageBreakBefore w:val="0"/>
        <w:widowControl w:val="0"/>
        <w:kinsoku/>
        <w:wordWrap/>
        <w:overflowPunct/>
        <w:topLinePunct w:val="0"/>
        <w:autoSpaceDE/>
        <w:autoSpaceDN/>
        <w:bidi w:val="0"/>
        <w:adjustRightInd w:val="0"/>
        <w:snapToGrid w:val="0"/>
        <w:spacing w:before="0" w:line="576" w:lineRule="exact"/>
        <w:ind w:left="0" w:firstLine="640" w:firstLineChars="200"/>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九、 国有资本经营预算支出决算情况说明</w:t>
      </w:r>
    </w:p>
    <w:p>
      <w:pPr>
        <w:pStyle w:val="16"/>
        <w:keepNext w:val="0"/>
        <w:keepLines w:val="0"/>
        <w:pageBreakBefore w:val="0"/>
        <w:widowControl w:val="0"/>
        <w:kinsoku/>
        <w:wordWrap/>
        <w:overflowPunct/>
        <w:topLinePunct w:val="0"/>
        <w:autoSpaceDE/>
        <w:autoSpaceDN/>
        <w:bidi w:val="0"/>
        <w:adjustRightInd w:val="0"/>
        <w:snapToGrid w:val="0"/>
        <w:spacing w:before="0" w:line="576" w:lineRule="exact"/>
        <w:ind w:left="0" w:firstLine="640" w:firstLineChars="200"/>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十、其他重要事项的情况说明</w:t>
      </w:r>
      <w:r>
        <w:rPr>
          <w:rFonts w:hint="eastAsia" w:ascii="仿宋_GB2312" w:hAnsi="仿宋_GB2312" w:eastAsia="仿宋_GB2312" w:cs="仿宋_GB2312"/>
          <w:i w:val="0"/>
          <w:iCs w:val="0"/>
          <w:sz w:val="32"/>
          <w:szCs w:val="32"/>
        </w:rPr>
        <w:tab/>
      </w:r>
    </w:p>
    <w:p>
      <w:pPr>
        <w:pStyle w:val="13"/>
        <w:keepNext w:val="0"/>
        <w:keepLines w:val="0"/>
        <w:pageBreakBefore w:val="0"/>
        <w:widowControl w:val="0"/>
        <w:kinsoku/>
        <w:wordWrap/>
        <w:overflowPunct/>
        <w:topLinePunct w:val="0"/>
        <w:autoSpaceDE/>
        <w:autoSpaceDN/>
        <w:bidi w:val="0"/>
        <w:adjustRightInd w:val="0"/>
        <w:snapToGrid w:val="0"/>
        <w:spacing w:before="0" w:after="0" w:line="576"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第三部分名词解释</w:t>
      </w:r>
    </w:p>
    <w:p>
      <w:pPr>
        <w:pStyle w:val="13"/>
        <w:keepNext w:val="0"/>
        <w:keepLines w:val="0"/>
        <w:pageBreakBefore w:val="0"/>
        <w:widowControl w:val="0"/>
        <w:kinsoku/>
        <w:wordWrap/>
        <w:overflowPunct/>
        <w:topLinePunct w:val="0"/>
        <w:autoSpaceDE/>
        <w:autoSpaceDN/>
        <w:bidi w:val="0"/>
        <w:adjustRightInd w:val="0"/>
        <w:snapToGrid w:val="0"/>
        <w:spacing w:before="0" w:after="0" w:line="576"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第四部分附件</w:t>
      </w:r>
    </w:p>
    <w:p>
      <w:pPr>
        <w:pStyle w:val="16"/>
        <w:keepNext w:val="0"/>
        <w:keepLines w:val="0"/>
        <w:pageBreakBefore w:val="0"/>
        <w:widowControl w:val="0"/>
        <w:kinsoku/>
        <w:wordWrap/>
        <w:overflowPunct/>
        <w:topLinePunct w:val="0"/>
        <w:autoSpaceDE/>
        <w:autoSpaceDN/>
        <w:bidi w:val="0"/>
        <w:adjustRightInd w:val="0"/>
        <w:snapToGrid w:val="0"/>
        <w:spacing w:before="0" w:line="576" w:lineRule="exact"/>
        <w:ind w:left="0" w:firstLine="640" w:firstLineChars="200"/>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附件1</w:t>
      </w:r>
    </w:p>
    <w:p>
      <w:pPr>
        <w:pStyle w:val="16"/>
        <w:keepNext w:val="0"/>
        <w:keepLines w:val="0"/>
        <w:pageBreakBefore w:val="0"/>
        <w:widowControl w:val="0"/>
        <w:kinsoku/>
        <w:wordWrap/>
        <w:overflowPunct/>
        <w:topLinePunct w:val="0"/>
        <w:autoSpaceDE/>
        <w:autoSpaceDN/>
        <w:bidi w:val="0"/>
        <w:adjustRightInd w:val="0"/>
        <w:snapToGrid w:val="0"/>
        <w:spacing w:before="0" w:line="576" w:lineRule="exact"/>
        <w:ind w:left="0" w:firstLine="640" w:firstLineChars="200"/>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附件2</w:t>
      </w:r>
    </w:p>
    <w:p>
      <w:pPr>
        <w:pStyle w:val="13"/>
        <w:keepNext w:val="0"/>
        <w:keepLines w:val="0"/>
        <w:pageBreakBefore w:val="0"/>
        <w:widowControl w:val="0"/>
        <w:kinsoku/>
        <w:wordWrap/>
        <w:overflowPunct/>
        <w:topLinePunct w:val="0"/>
        <w:autoSpaceDE/>
        <w:autoSpaceDN/>
        <w:bidi w:val="0"/>
        <w:adjustRightInd w:val="0"/>
        <w:snapToGrid w:val="0"/>
        <w:spacing w:before="0" w:after="0" w:line="576"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第五部分附表</w:t>
      </w:r>
    </w:p>
    <w:p>
      <w:pPr>
        <w:pStyle w:val="16"/>
        <w:keepNext w:val="0"/>
        <w:keepLines w:val="0"/>
        <w:pageBreakBefore w:val="0"/>
        <w:widowControl w:val="0"/>
        <w:kinsoku/>
        <w:wordWrap/>
        <w:overflowPunct/>
        <w:topLinePunct w:val="0"/>
        <w:autoSpaceDE/>
        <w:autoSpaceDN/>
        <w:bidi w:val="0"/>
        <w:adjustRightInd w:val="0"/>
        <w:snapToGrid w:val="0"/>
        <w:spacing w:before="0" w:line="576" w:lineRule="exact"/>
        <w:ind w:left="0" w:firstLine="640" w:firstLineChars="200"/>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一、收入支出决算总表</w:t>
      </w:r>
    </w:p>
    <w:p>
      <w:pPr>
        <w:pStyle w:val="16"/>
        <w:keepNext w:val="0"/>
        <w:keepLines w:val="0"/>
        <w:pageBreakBefore w:val="0"/>
        <w:widowControl w:val="0"/>
        <w:kinsoku/>
        <w:wordWrap/>
        <w:overflowPunct/>
        <w:topLinePunct w:val="0"/>
        <w:autoSpaceDE/>
        <w:autoSpaceDN/>
        <w:bidi w:val="0"/>
        <w:adjustRightInd w:val="0"/>
        <w:snapToGrid w:val="0"/>
        <w:spacing w:before="0" w:line="576" w:lineRule="exact"/>
        <w:ind w:left="0" w:firstLine="640" w:firstLineChars="200"/>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二、收入决算表</w:t>
      </w:r>
    </w:p>
    <w:p>
      <w:pPr>
        <w:pStyle w:val="16"/>
        <w:keepNext w:val="0"/>
        <w:keepLines w:val="0"/>
        <w:pageBreakBefore w:val="0"/>
        <w:widowControl w:val="0"/>
        <w:kinsoku/>
        <w:wordWrap/>
        <w:overflowPunct/>
        <w:topLinePunct w:val="0"/>
        <w:autoSpaceDE/>
        <w:autoSpaceDN/>
        <w:bidi w:val="0"/>
        <w:adjustRightInd w:val="0"/>
        <w:snapToGrid w:val="0"/>
        <w:spacing w:before="0" w:line="576" w:lineRule="exact"/>
        <w:ind w:left="0" w:firstLine="640" w:firstLineChars="200"/>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三、支出决算表</w:t>
      </w:r>
    </w:p>
    <w:p>
      <w:pPr>
        <w:pStyle w:val="16"/>
        <w:keepNext w:val="0"/>
        <w:keepLines w:val="0"/>
        <w:pageBreakBefore w:val="0"/>
        <w:widowControl w:val="0"/>
        <w:kinsoku/>
        <w:wordWrap/>
        <w:overflowPunct/>
        <w:topLinePunct w:val="0"/>
        <w:autoSpaceDE/>
        <w:autoSpaceDN/>
        <w:bidi w:val="0"/>
        <w:adjustRightInd w:val="0"/>
        <w:snapToGrid w:val="0"/>
        <w:spacing w:before="0" w:line="576" w:lineRule="exact"/>
        <w:ind w:left="0" w:firstLine="640" w:firstLineChars="200"/>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四、财政拨款收入支出决算总表</w:t>
      </w:r>
    </w:p>
    <w:p>
      <w:pPr>
        <w:pStyle w:val="16"/>
        <w:keepNext w:val="0"/>
        <w:keepLines w:val="0"/>
        <w:pageBreakBefore w:val="0"/>
        <w:widowControl w:val="0"/>
        <w:kinsoku/>
        <w:wordWrap/>
        <w:overflowPunct/>
        <w:topLinePunct w:val="0"/>
        <w:autoSpaceDE/>
        <w:autoSpaceDN/>
        <w:bidi w:val="0"/>
        <w:adjustRightInd w:val="0"/>
        <w:snapToGrid w:val="0"/>
        <w:spacing w:before="0" w:line="576" w:lineRule="exact"/>
        <w:ind w:left="0" w:firstLine="640" w:firstLineChars="200"/>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五、财政拨款支出决算明细表</w:t>
      </w:r>
    </w:p>
    <w:p>
      <w:pPr>
        <w:pStyle w:val="16"/>
        <w:keepNext w:val="0"/>
        <w:keepLines w:val="0"/>
        <w:pageBreakBefore w:val="0"/>
        <w:widowControl w:val="0"/>
        <w:kinsoku/>
        <w:wordWrap/>
        <w:overflowPunct/>
        <w:topLinePunct w:val="0"/>
        <w:autoSpaceDE/>
        <w:autoSpaceDN/>
        <w:bidi w:val="0"/>
        <w:adjustRightInd w:val="0"/>
        <w:snapToGrid w:val="0"/>
        <w:spacing w:before="0" w:line="576" w:lineRule="exact"/>
        <w:ind w:left="0" w:firstLine="640" w:firstLineChars="200"/>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六、一般公共预算财政拨款支出决算表</w:t>
      </w:r>
    </w:p>
    <w:p>
      <w:pPr>
        <w:pStyle w:val="16"/>
        <w:keepNext w:val="0"/>
        <w:keepLines w:val="0"/>
        <w:pageBreakBefore w:val="0"/>
        <w:widowControl w:val="0"/>
        <w:kinsoku/>
        <w:wordWrap/>
        <w:overflowPunct/>
        <w:topLinePunct w:val="0"/>
        <w:autoSpaceDE/>
        <w:autoSpaceDN/>
        <w:bidi w:val="0"/>
        <w:adjustRightInd w:val="0"/>
        <w:snapToGrid w:val="0"/>
        <w:spacing w:before="0" w:line="576" w:lineRule="exact"/>
        <w:ind w:left="0" w:firstLine="640" w:firstLineChars="200"/>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七、一般公共预算财政拨款支出决算明细表</w:t>
      </w:r>
    </w:p>
    <w:p>
      <w:pPr>
        <w:pStyle w:val="16"/>
        <w:keepNext w:val="0"/>
        <w:keepLines w:val="0"/>
        <w:pageBreakBefore w:val="0"/>
        <w:widowControl w:val="0"/>
        <w:kinsoku/>
        <w:wordWrap/>
        <w:overflowPunct/>
        <w:topLinePunct w:val="0"/>
        <w:autoSpaceDE/>
        <w:autoSpaceDN/>
        <w:bidi w:val="0"/>
        <w:adjustRightInd w:val="0"/>
        <w:snapToGrid w:val="0"/>
        <w:spacing w:before="0" w:line="576" w:lineRule="exact"/>
        <w:ind w:left="0" w:firstLine="640" w:firstLineChars="200"/>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八、一般公共预算财政拨款基本支出决算表</w:t>
      </w:r>
    </w:p>
    <w:p>
      <w:pPr>
        <w:pStyle w:val="16"/>
        <w:keepNext w:val="0"/>
        <w:keepLines w:val="0"/>
        <w:pageBreakBefore w:val="0"/>
        <w:widowControl w:val="0"/>
        <w:kinsoku/>
        <w:wordWrap/>
        <w:overflowPunct/>
        <w:topLinePunct w:val="0"/>
        <w:autoSpaceDE/>
        <w:autoSpaceDN/>
        <w:bidi w:val="0"/>
        <w:adjustRightInd w:val="0"/>
        <w:snapToGrid w:val="0"/>
        <w:spacing w:before="0" w:line="576" w:lineRule="exact"/>
        <w:ind w:left="0" w:firstLine="640" w:firstLineChars="200"/>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九、一般公共预算财政拨款项目支出决算表</w:t>
      </w:r>
    </w:p>
    <w:p>
      <w:pPr>
        <w:pStyle w:val="16"/>
        <w:keepNext w:val="0"/>
        <w:keepLines w:val="0"/>
        <w:pageBreakBefore w:val="0"/>
        <w:widowControl w:val="0"/>
        <w:kinsoku/>
        <w:wordWrap/>
        <w:overflowPunct/>
        <w:topLinePunct w:val="0"/>
        <w:autoSpaceDE/>
        <w:autoSpaceDN/>
        <w:bidi w:val="0"/>
        <w:adjustRightInd w:val="0"/>
        <w:snapToGrid w:val="0"/>
        <w:spacing w:before="0" w:line="576" w:lineRule="exact"/>
        <w:ind w:left="0" w:firstLine="640" w:firstLineChars="200"/>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十、一般公共预算财政拨款“三公”经费支出决算表</w:t>
      </w:r>
    </w:p>
    <w:p>
      <w:pPr>
        <w:pStyle w:val="16"/>
        <w:keepNext w:val="0"/>
        <w:keepLines w:val="0"/>
        <w:pageBreakBefore w:val="0"/>
        <w:widowControl w:val="0"/>
        <w:kinsoku/>
        <w:wordWrap/>
        <w:overflowPunct/>
        <w:topLinePunct w:val="0"/>
        <w:autoSpaceDE/>
        <w:autoSpaceDN/>
        <w:bidi w:val="0"/>
        <w:adjustRightInd w:val="0"/>
        <w:snapToGrid w:val="0"/>
        <w:spacing w:before="0" w:line="576" w:lineRule="exact"/>
        <w:ind w:left="0" w:firstLine="640" w:firstLineChars="200"/>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十一、政府性基金预算财政拨款收入支出决算表</w:t>
      </w:r>
    </w:p>
    <w:p>
      <w:pPr>
        <w:pStyle w:val="16"/>
        <w:keepNext w:val="0"/>
        <w:keepLines w:val="0"/>
        <w:pageBreakBefore w:val="0"/>
        <w:widowControl w:val="0"/>
        <w:kinsoku/>
        <w:wordWrap/>
        <w:overflowPunct/>
        <w:topLinePunct w:val="0"/>
        <w:autoSpaceDE/>
        <w:autoSpaceDN/>
        <w:bidi w:val="0"/>
        <w:adjustRightInd w:val="0"/>
        <w:snapToGrid w:val="0"/>
        <w:spacing w:before="0" w:line="576" w:lineRule="exact"/>
        <w:ind w:left="0" w:firstLine="640" w:firstLineChars="200"/>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十二、政府性基金预算财政拨款“三公”经费支出决算表</w:t>
      </w:r>
    </w:p>
    <w:p>
      <w:pPr>
        <w:pStyle w:val="16"/>
        <w:keepNext w:val="0"/>
        <w:keepLines w:val="0"/>
        <w:pageBreakBefore w:val="0"/>
        <w:widowControl w:val="0"/>
        <w:kinsoku/>
        <w:wordWrap/>
        <w:overflowPunct/>
        <w:topLinePunct w:val="0"/>
        <w:autoSpaceDE/>
        <w:autoSpaceDN/>
        <w:bidi w:val="0"/>
        <w:adjustRightInd w:val="0"/>
        <w:snapToGrid w:val="0"/>
        <w:spacing w:before="0" w:line="576" w:lineRule="exact"/>
        <w:ind w:left="0" w:firstLine="640" w:firstLineChars="200"/>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十三、国有资本经营预算支出决算表</w:t>
      </w:r>
    </w:p>
    <w:p>
      <w:pPr>
        <w:keepNext w:val="0"/>
        <w:keepLines w:val="0"/>
        <w:pageBreakBefore w:val="0"/>
        <w:widowControl/>
        <w:kinsoku/>
        <w:wordWrap/>
        <w:overflowPunct/>
        <w:topLinePunct w:val="0"/>
        <w:autoSpaceDE/>
        <w:autoSpaceDN/>
        <w:bidi w:val="0"/>
        <w:spacing w:line="576" w:lineRule="exact"/>
        <w:ind w:left="0"/>
        <w:jc w:val="center"/>
        <w:textAlignment w:val="auto"/>
        <w:rPr>
          <w:rFonts w:hint="eastAsia" w:ascii="仿宋_GB2312" w:hAnsi="仿宋_GB2312" w:eastAsia="仿宋_GB2312" w:cs="仿宋_GB2312"/>
          <w:b/>
          <w:sz w:val="32"/>
          <w:szCs w:val="32"/>
        </w:rPr>
      </w:pPr>
      <w:bookmarkStart w:id="12" w:name="_Toc15396599"/>
      <w:bookmarkStart w:id="13" w:name="_Toc15377196"/>
    </w:p>
    <w:p>
      <w:pPr>
        <w:keepNext w:val="0"/>
        <w:keepLines w:val="0"/>
        <w:pageBreakBefore w:val="0"/>
        <w:widowControl/>
        <w:kinsoku/>
        <w:wordWrap/>
        <w:overflowPunct/>
        <w:topLinePunct w:val="0"/>
        <w:autoSpaceDE/>
        <w:autoSpaceDN/>
        <w:bidi w:val="0"/>
        <w:spacing w:line="576" w:lineRule="exact"/>
        <w:ind w:left="0"/>
        <w:jc w:val="center"/>
        <w:textAlignment w:val="auto"/>
        <w:rPr>
          <w:rFonts w:hint="eastAsia" w:ascii="仿宋_GB2312" w:hAnsi="仿宋_GB2312" w:eastAsia="仿宋_GB2312" w:cs="仿宋_GB2312"/>
          <w:b/>
          <w:sz w:val="32"/>
          <w:szCs w:val="32"/>
        </w:rPr>
      </w:pPr>
    </w:p>
    <w:p>
      <w:pPr>
        <w:widowControl/>
        <w:spacing w:line="360" w:lineRule="auto"/>
        <w:jc w:val="center"/>
        <w:rPr>
          <w:rFonts w:ascii="仿宋" w:hAnsi="仿宋" w:eastAsia="仿宋"/>
          <w:b/>
          <w:sz w:val="24"/>
        </w:rPr>
      </w:pPr>
    </w:p>
    <w:p>
      <w:pPr>
        <w:widowControl/>
        <w:spacing w:line="360" w:lineRule="auto"/>
        <w:jc w:val="center"/>
        <w:rPr>
          <w:rFonts w:ascii="仿宋" w:hAnsi="仿宋" w:eastAsia="仿宋"/>
          <w:b/>
          <w:sz w:val="24"/>
        </w:rPr>
      </w:pPr>
    </w:p>
    <w:p>
      <w:pPr>
        <w:widowControl/>
        <w:spacing w:line="360" w:lineRule="auto"/>
        <w:jc w:val="center"/>
        <w:rPr>
          <w:rFonts w:ascii="仿宋" w:hAnsi="仿宋" w:eastAsia="仿宋"/>
          <w:b/>
          <w:sz w:val="24"/>
        </w:rPr>
      </w:pPr>
    </w:p>
    <w:p>
      <w:pPr>
        <w:widowControl/>
        <w:spacing w:line="360" w:lineRule="auto"/>
        <w:jc w:val="center"/>
        <w:rPr>
          <w:rFonts w:ascii="仿宋" w:hAnsi="仿宋" w:eastAsia="仿宋"/>
          <w:b/>
          <w:sz w:val="24"/>
        </w:rPr>
      </w:pPr>
    </w:p>
    <w:p>
      <w:pPr>
        <w:widowControl/>
        <w:spacing w:line="360" w:lineRule="auto"/>
        <w:jc w:val="center"/>
        <w:rPr>
          <w:rFonts w:ascii="仿宋" w:hAnsi="仿宋" w:eastAsia="仿宋"/>
          <w:b/>
          <w:sz w:val="24"/>
        </w:rPr>
      </w:pPr>
    </w:p>
    <w:p>
      <w:pPr>
        <w:widowControl/>
        <w:spacing w:line="360" w:lineRule="auto"/>
        <w:jc w:val="center"/>
        <w:rPr>
          <w:rFonts w:ascii="仿宋" w:hAnsi="仿宋" w:eastAsia="仿宋"/>
          <w:b/>
          <w:sz w:val="24"/>
        </w:rPr>
      </w:pPr>
    </w:p>
    <w:p>
      <w:pPr>
        <w:widowControl/>
        <w:spacing w:line="360" w:lineRule="auto"/>
        <w:jc w:val="center"/>
        <w:rPr>
          <w:rFonts w:ascii="仿宋" w:hAnsi="仿宋" w:eastAsia="仿宋"/>
          <w:b/>
          <w:sz w:val="24"/>
        </w:rPr>
      </w:pPr>
    </w:p>
    <w:p>
      <w:pPr>
        <w:widowControl/>
        <w:spacing w:line="360" w:lineRule="auto"/>
        <w:jc w:val="center"/>
        <w:rPr>
          <w:rFonts w:ascii="仿宋" w:hAnsi="仿宋" w:eastAsia="仿宋"/>
          <w:b/>
          <w:sz w:val="24"/>
        </w:rPr>
      </w:pPr>
    </w:p>
    <w:p>
      <w:pPr>
        <w:widowControl/>
        <w:spacing w:line="360" w:lineRule="auto"/>
        <w:jc w:val="center"/>
        <w:rPr>
          <w:rFonts w:ascii="仿宋" w:hAnsi="仿宋" w:eastAsia="仿宋"/>
          <w:b/>
          <w:sz w:val="24"/>
        </w:rPr>
      </w:pPr>
    </w:p>
    <w:p>
      <w:pPr>
        <w:widowControl/>
        <w:spacing w:line="360" w:lineRule="auto"/>
        <w:jc w:val="center"/>
        <w:rPr>
          <w:rFonts w:ascii="仿宋" w:hAnsi="仿宋" w:eastAsia="仿宋"/>
          <w:b/>
          <w:sz w:val="24"/>
        </w:rPr>
      </w:pPr>
    </w:p>
    <w:p>
      <w:pPr>
        <w:widowControl/>
        <w:numPr>
          <w:ilvl w:val="0"/>
          <w:numId w:val="1"/>
        </w:numPr>
        <w:spacing w:line="360" w:lineRule="auto"/>
        <w:jc w:val="center"/>
        <w:rPr>
          <w:rStyle w:val="31"/>
          <w:rFonts w:hint="eastAsia" w:ascii="黑体" w:hAnsi="黑体" w:eastAsia="黑体"/>
          <w:b w:val="0"/>
          <w:bCs w:val="0"/>
          <w:sz w:val="32"/>
          <w:szCs w:val="32"/>
        </w:rPr>
      </w:pPr>
      <w:r>
        <w:rPr>
          <w:rStyle w:val="31"/>
          <w:rFonts w:hint="eastAsia" w:ascii="黑体" w:hAnsi="黑体" w:eastAsia="黑体"/>
          <w:b w:val="0"/>
          <w:bCs w:val="0"/>
          <w:sz w:val="32"/>
          <w:szCs w:val="32"/>
        </w:rPr>
        <w:t>部门概况</w:t>
      </w:r>
      <w:bookmarkEnd w:id="12"/>
      <w:bookmarkEnd w:id="13"/>
    </w:p>
    <w:p>
      <w:pPr>
        <w:widowControl/>
        <w:numPr>
          <w:numId w:val="0"/>
        </w:numPr>
        <w:spacing w:line="360" w:lineRule="auto"/>
        <w:jc w:val="both"/>
        <w:rPr>
          <w:rStyle w:val="31"/>
          <w:rFonts w:hint="eastAsia" w:ascii="黑体" w:hAnsi="黑体" w:eastAsia="黑体"/>
          <w:b w:val="0"/>
          <w:bCs w:val="0"/>
          <w:sz w:val="32"/>
          <w:szCs w:val="32"/>
        </w:rPr>
      </w:pPr>
    </w:p>
    <w:p>
      <w:pPr>
        <w:pStyle w:val="3"/>
        <w:pageBreakBefore w:val="0"/>
        <w:widowControl w:val="0"/>
        <w:kinsoku/>
        <w:wordWrap/>
        <w:overflowPunct/>
        <w:topLinePunct w:val="0"/>
        <w:autoSpaceDE/>
        <w:autoSpaceDN/>
        <w:bidi w:val="0"/>
        <w:spacing w:before="0" w:after="0" w:line="576" w:lineRule="exact"/>
        <w:textAlignment w:val="auto"/>
        <w:rPr>
          <w:rStyle w:val="32"/>
          <w:rFonts w:hint="eastAsia" w:ascii="黑体" w:hAnsi="黑体" w:eastAsia="黑体" w:cs="黑体"/>
          <w:b w:val="0"/>
          <w:bCs w:val="0"/>
          <w:sz w:val="30"/>
          <w:szCs w:val="30"/>
        </w:rPr>
      </w:pPr>
      <w:bookmarkStart w:id="14" w:name="_Toc15377197"/>
      <w:bookmarkStart w:id="15" w:name="_Toc15396600"/>
      <w:r>
        <w:rPr>
          <w:rFonts w:hint="eastAsia" w:ascii="黑体" w:hAnsi="黑体" w:eastAsia="黑体" w:cs="黑体"/>
          <w:b w:val="0"/>
          <w:color w:val="000000"/>
          <w:sz w:val="30"/>
          <w:szCs w:val="30"/>
        </w:rPr>
        <w:t>一、基</w:t>
      </w:r>
      <w:r>
        <w:rPr>
          <w:rStyle w:val="32"/>
          <w:rFonts w:hint="eastAsia" w:ascii="黑体" w:hAnsi="黑体" w:eastAsia="黑体" w:cs="黑体"/>
          <w:b w:val="0"/>
          <w:bCs w:val="0"/>
          <w:sz w:val="30"/>
          <w:szCs w:val="30"/>
        </w:rPr>
        <w:t>本职能及主要工作</w:t>
      </w:r>
      <w:bookmarkEnd w:id="14"/>
      <w:bookmarkEnd w:id="15"/>
    </w:p>
    <w:p>
      <w:pPr>
        <w:pStyle w:val="6"/>
        <w:pageBreakBefore w:val="0"/>
        <w:widowControl w:val="0"/>
        <w:kinsoku/>
        <w:wordWrap/>
        <w:overflowPunct/>
        <w:topLinePunct w:val="0"/>
        <w:autoSpaceDE/>
        <w:autoSpaceDN/>
        <w:bidi w:val="0"/>
        <w:adjustRightInd w:val="0"/>
        <w:snapToGrid w:val="0"/>
        <w:spacing w:beforeLines="0" w:line="576" w:lineRule="exact"/>
        <w:ind w:firstLine="672" w:firstLineChars="210"/>
        <w:textAlignment w:val="auto"/>
        <w:outlineLvl w:val="2"/>
        <w:rPr>
          <w:rFonts w:hint="eastAsia" w:ascii="楷体_GB2312" w:hAnsi="楷体_GB2312" w:eastAsia="楷体_GB2312" w:cs="楷体_GB2312"/>
          <w:bCs/>
          <w:color w:val="000000"/>
          <w:sz w:val="32"/>
          <w:szCs w:val="32"/>
        </w:rPr>
      </w:pPr>
      <w:bookmarkStart w:id="16" w:name="_Toc15378445"/>
      <w:bookmarkStart w:id="17" w:name="_Toc15377198"/>
      <w:r>
        <w:rPr>
          <w:rFonts w:hint="eastAsia" w:ascii="楷体_GB2312" w:hAnsi="楷体_GB2312" w:eastAsia="楷体_GB2312" w:cs="楷体_GB2312"/>
          <w:bCs/>
          <w:color w:val="000000"/>
          <w:sz w:val="32"/>
          <w:szCs w:val="32"/>
        </w:rPr>
        <w:t>（一）主要职能。</w:t>
      </w:r>
      <w:bookmarkEnd w:id="16"/>
      <w:bookmarkEnd w:id="17"/>
      <w:bookmarkStart w:id="18" w:name="_Toc15378446"/>
      <w:bookmarkStart w:id="19" w:name="_Toc15377199"/>
    </w:p>
    <w:p>
      <w:pPr>
        <w:pStyle w:val="6"/>
        <w:pageBreakBefore w:val="0"/>
        <w:widowControl w:val="0"/>
        <w:kinsoku/>
        <w:wordWrap/>
        <w:overflowPunct/>
        <w:topLinePunct w:val="0"/>
        <w:autoSpaceDE/>
        <w:autoSpaceDN/>
        <w:bidi w:val="0"/>
        <w:adjustRightInd w:val="0"/>
        <w:snapToGrid w:val="0"/>
        <w:spacing w:beforeLines="0" w:line="576" w:lineRule="exact"/>
        <w:ind w:firstLine="672" w:firstLineChars="210"/>
        <w:textAlignment w:val="auto"/>
        <w:outlineLvl w:val="2"/>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（1）根据党的中心任务，指导各级妇联依据《中华全国妇女联合会章程))和妇女代表大会的决议，开展妇女儿童工作；联系团体会员，并给予业务指导。</w:t>
      </w:r>
    </w:p>
    <w:p>
      <w:pPr>
        <w:pStyle w:val="6"/>
        <w:pageBreakBefore w:val="0"/>
        <w:widowControl w:val="0"/>
        <w:kinsoku/>
        <w:wordWrap/>
        <w:overflowPunct/>
        <w:topLinePunct w:val="0"/>
        <w:autoSpaceDE/>
        <w:autoSpaceDN/>
        <w:bidi w:val="0"/>
        <w:adjustRightInd w:val="0"/>
        <w:snapToGrid w:val="0"/>
        <w:spacing w:beforeLines="0" w:line="576" w:lineRule="exact"/>
        <w:ind w:firstLine="672" w:firstLineChars="210"/>
        <w:textAlignment w:val="auto"/>
        <w:outlineLvl w:val="2"/>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（2）调查研究我市不同地区妇女儿童的情况、问题及时向市委、市政府反映，提出建议。</w:t>
      </w:r>
    </w:p>
    <w:p>
      <w:pPr>
        <w:pStyle w:val="6"/>
        <w:pageBreakBefore w:val="0"/>
        <w:widowControl w:val="0"/>
        <w:kinsoku/>
        <w:wordWrap/>
        <w:overflowPunct/>
        <w:topLinePunct w:val="0"/>
        <w:autoSpaceDE/>
        <w:autoSpaceDN/>
        <w:bidi w:val="0"/>
        <w:adjustRightInd w:val="0"/>
        <w:snapToGrid w:val="0"/>
        <w:spacing w:beforeLines="0" w:line="576" w:lineRule="exact"/>
        <w:ind w:firstLine="672" w:firstLineChars="210"/>
        <w:textAlignment w:val="auto"/>
        <w:outlineLvl w:val="2"/>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（3）指导和推动全市农村妇女的“双学双赛”活动及城镇妇女的“巾帼建功”活动。</w:t>
      </w:r>
    </w:p>
    <w:p>
      <w:pPr>
        <w:pStyle w:val="6"/>
        <w:pageBreakBefore w:val="0"/>
        <w:widowControl w:val="0"/>
        <w:kinsoku/>
        <w:wordWrap/>
        <w:overflowPunct/>
        <w:topLinePunct w:val="0"/>
        <w:autoSpaceDE/>
        <w:autoSpaceDN/>
        <w:bidi w:val="0"/>
        <w:adjustRightInd w:val="0"/>
        <w:snapToGrid w:val="0"/>
        <w:spacing w:beforeLines="0" w:line="576" w:lineRule="exact"/>
        <w:ind w:firstLine="672" w:firstLineChars="210"/>
        <w:textAlignment w:val="auto"/>
        <w:outlineLvl w:val="2"/>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（4）指导各级妇联的宣传舆论工作，教育、引导广大妇女增强自尊、自信、自立、自强的精神，表彰各行各业先进妇女，开展妇女职业技术培训和多层次的妇女干部培训，全面提高素质，促进妇女人才成长。</w:t>
      </w:r>
    </w:p>
    <w:p>
      <w:pPr>
        <w:pStyle w:val="6"/>
        <w:pageBreakBefore w:val="0"/>
        <w:widowControl w:val="0"/>
        <w:kinsoku/>
        <w:wordWrap/>
        <w:overflowPunct/>
        <w:topLinePunct w:val="0"/>
        <w:autoSpaceDE/>
        <w:autoSpaceDN/>
        <w:bidi w:val="0"/>
        <w:adjustRightInd w:val="0"/>
        <w:snapToGrid w:val="0"/>
        <w:spacing w:beforeLines="0" w:line="576" w:lineRule="exact"/>
        <w:ind w:firstLine="672" w:firstLineChars="210"/>
        <w:textAlignment w:val="auto"/>
        <w:outlineLvl w:val="2"/>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（6）代表妇女参与国家和社会事务的民主管理，民主监督，促进妇女参政议政，贯彻执行有关妇女儿童法律、法规，参与制定有关规章制度，维护妇女儿童的合法权益。</w:t>
      </w:r>
    </w:p>
    <w:p>
      <w:pPr>
        <w:pStyle w:val="6"/>
        <w:pageBreakBefore w:val="0"/>
        <w:widowControl w:val="0"/>
        <w:kinsoku/>
        <w:wordWrap/>
        <w:overflowPunct/>
        <w:topLinePunct w:val="0"/>
        <w:autoSpaceDE/>
        <w:autoSpaceDN/>
        <w:bidi w:val="0"/>
        <w:adjustRightInd w:val="0"/>
        <w:snapToGrid w:val="0"/>
        <w:spacing w:beforeLines="0" w:line="576" w:lineRule="exact"/>
        <w:ind w:firstLine="672" w:firstLineChars="210"/>
        <w:textAlignment w:val="auto"/>
        <w:outlineLvl w:val="2"/>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（7）为妇女儿童服务。加强与诖会各界的联系，协调和推动社会各界为妇女儿童办好事、办实事。</w:t>
      </w:r>
    </w:p>
    <w:p>
      <w:pPr>
        <w:pStyle w:val="6"/>
        <w:pageBreakBefore w:val="0"/>
        <w:widowControl w:val="0"/>
        <w:kinsoku/>
        <w:wordWrap/>
        <w:overflowPunct/>
        <w:topLinePunct w:val="0"/>
        <w:autoSpaceDE/>
        <w:autoSpaceDN/>
        <w:bidi w:val="0"/>
        <w:adjustRightInd w:val="0"/>
        <w:snapToGrid w:val="0"/>
        <w:spacing w:beforeLines="0" w:line="576" w:lineRule="exact"/>
        <w:ind w:firstLine="672" w:firstLineChars="210"/>
        <w:textAlignment w:val="auto"/>
        <w:outlineLvl w:val="2"/>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（8）建立与各族各界妇女的联系．巩固妇女的大团结。积极开展同港澳台地区及华侨妇女的联谊，促进祖国统一大业，发展同世界各国妇女的友好交往，增进友谊、加强合作。</w:t>
      </w:r>
    </w:p>
    <w:p>
      <w:pPr>
        <w:pStyle w:val="6"/>
        <w:pageBreakBefore w:val="0"/>
        <w:widowControl w:val="0"/>
        <w:kinsoku/>
        <w:wordWrap/>
        <w:overflowPunct/>
        <w:topLinePunct w:val="0"/>
        <w:autoSpaceDE/>
        <w:autoSpaceDN/>
        <w:bidi w:val="0"/>
        <w:adjustRightInd w:val="0"/>
        <w:snapToGrid w:val="0"/>
        <w:spacing w:beforeLines="0" w:line="576" w:lineRule="exact"/>
        <w:ind w:firstLine="672" w:firstLineChars="210"/>
        <w:textAlignment w:val="auto"/>
        <w:outlineLvl w:val="2"/>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（9）负责机关和本系统的精神文明建设以及党风廉政建设。</w:t>
      </w:r>
    </w:p>
    <w:p>
      <w:pPr>
        <w:pStyle w:val="6"/>
        <w:pageBreakBefore w:val="0"/>
        <w:widowControl w:val="0"/>
        <w:kinsoku/>
        <w:wordWrap/>
        <w:overflowPunct/>
        <w:topLinePunct w:val="0"/>
        <w:autoSpaceDE/>
        <w:autoSpaceDN/>
        <w:bidi w:val="0"/>
        <w:adjustRightInd w:val="0"/>
        <w:snapToGrid w:val="0"/>
        <w:spacing w:beforeLines="0" w:line="576" w:lineRule="exact"/>
        <w:ind w:firstLine="672" w:firstLineChars="210"/>
        <w:textAlignment w:val="auto"/>
        <w:outlineLvl w:val="2"/>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（10）承担市政府妇女儿童工作委员会的日常工作。承办市委市政府交办的其它事项。</w:t>
      </w:r>
    </w:p>
    <w:p>
      <w:pPr>
        <w:pStyle w:val="6"/>
        <w:pageBreakBefore w:val="0"/>
        <w:widowControl w:val="0"/>
        <w:kinsoku/>
        <w:wordWrap/>
        <w:overflowPunct/>
        <w:topLinePunct w:val="0"/>
        <w:autoSpaceDE/>
        <w:autoSpaceDN/>
        <w:bidi w:val="0"/>
        <w:adjustRightInd w:val="0"/>
        <w:snapToGrid w:val="0"/>
        <w:spacing w:beforeLines="0" w:line="576" w:lineRule="exact"/>
        <w:ind w:firstLine="672" w:firstLineChars="210"/>
        <w:textAlignment w:val="auto"/>
        <w:outlineLvl w:val="2"/>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（二）2019年重点工作完成情况。</w:t>
      </w:r>
      <w:bookmarkEnd w:id="18"/>
      <w:bookmarkEnd w:id="19"/>
    </w:p>
    <w:p>
      <w:pPr>
        <w:pStyle w:val="6"/>
        <w:pageBreakBefore w:val="0"/>
        <w:widowControl w:val="0"/>
        <w:kinsoku/>
        <w:wordWrap/>
        <w:overflowPunct/>
        <w:topLinePunct w:val="0"/>
        <w:autoSpaceDE/>
        <w:autoSpaceDN/>
        <w:bidi w:val="0"/>
        <w:adjustRightInd w:val="0"/>
        <w:snapToGrid w:val="0"/>
        <w:spacing w:beforeLines="0" w:line="576" w:lineRule="exact"/>
        <w:ind w:firstLine="672" w:firstLineChars="210"/>
        <w:textAlignment w:val="auto"/>
        <w:outlineLvl w:val="2"/>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2019年，在市委、市政府和省妇联的坚强领导下，全市各级妇联组织始终坚持以习近平新时代中国特色社会主义思想为指导，认真贯彻落实中央、省委决策部署，紧扣市委、市政府工作大局，认真履行“引领、服务、联系”妇女工作职责，团结带领全市妇女为加快建设川陕甘结合部区域中心城市和四川北向东出桥头堡贡献巾帼力量。市委常委会专题听取了群团工作汇报，市政府召开了群团部门联席会议解决妇联的具体问题，市人大常委会主任邓光志、市政协副主席吴桂芬先后视察了“乡村振兴巾帼行动”、家庭文明建设等相关工作；市政府副市长吴桂华代表广元在全省“两纲攻坚年推进会”上作经验交流发言，我会先后5次在全省作经验交流。市妇联相关工作在中国妇女报、学习强国、四川经济日报、四川在线等媒体先后50次进行宣传报道。现将一年工作总结如下：</w:t>
      </w:r>
    </w:p>
    <w:p>
      <w:pPr>
        <w:pStyle w:val="6"/>
        <w:pageBreakBefore w:val="0"/>
        <w:widowControl w:val="0"/>
        <w:kinsoku/>
        <w:wordWrap/>
        <w:overflowPunct/>
        <w:topLinePunct w:val="0"/>
        <w:autoSpaceDE/>
        <w:autoSpaceDN/>
        <w:bidi w:val="0"/>
        <w:adjustRightInd w:val="0"/>
        <w:snapToGrid w:val="0"/>
        <w:spacing w:beforeLines="0" w:line="576" w:lineRule="exact"/>
        <w:ind w:firstLine="675" w:firstLineChars="210"/>
        <w:textAlignment w:val="auto"/>
        <w:outlineLvl w:val="2"/>
        <w:rPr>
          <w:rFonts w:hint="eastAsia" w:ascii="仿宋_GB2312" w:hAnsi="仿宋_GB2312" w:eastAsia="仿宋_GB2312" w:cs="仿宋_GB2312"/>
          <w:b/>
          <w:bCs w:val="0"/>
          <w:color w:val="000000"/>
          <w:sz w:val="32"/>
          <w:szCs w:val="32"/>
        </w:rPr>
      </w:pPr>
      <w:r>
        <w:rPr>
          <w:rFonts w:hint="eastAsia" w:hAnsi="仿宋_GB2312" w:cs="仿宋_GB2312"/>
          <w:b/>
          <w:bCs w:val="0"/>
          <w:color w:val="000000"/>
          <w:sz w:val="32"/>
          <w:szCs w:val="32"/>
          <w:lang w:val="en-US" w:eastAsia="zh-CN"/>
        </w:rPr>
        <w:t>1</w:t>
      </w:r>
      <w:r>
        <w:rPr>
          <w:rFonts w:hint="eastAsia" w:ascii="仿宋_GB2312" w:hAnsi="仿宋_GB2312" w:eastAsia="仿宋_GB2312" w:cs="仿宋_GB2312"/>
          <w:b/>
          <w:bCs w:val="0"/>
          <w:color w:val="000000"/>
          <w:sz w:val="32"/>
          <w:szCs w:val="32"/>
        </w:rPr>
        <w:t>、坚持党的领导，做到“两个维护”，全面从严治党迈出新步伐。</w:t>
      </w:r>
    </w:p>
    <w:p>
      <w:pPr>
        <w:pStyle w:val="6"/>
        <w:pageBreakBefore w:val="0"/>
        <w:widowControl w:val="0"/>
        <w:kinsoku/>
        <w:wordWrap/>
        <w:overflowPunct/>
        <w:topLinePunct w:val="0"/>
        <w:autoSpaceDE/>
        <w:autoSpaceDN/>
        <w:bidi w:val="0"/>
        <w:adjustRightInd w:val="0"/>
        <w:snapToGrid w:val="0"/>
        <w:spacing w:beforeLines="0" w:line="576" w:lineRule="exact"/>
        <w:ind w:firstLine="672" w:firstLineChars="210"/>
        <w:textAlignment w:val="auto"/>
        <w:outlineLvl w:val="2"/>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把牢政治方向。始终把增强“四个意识”、坚定“四个自信”、做到“两个维护”作为第一位的政治职责，把保持和增强政治性、先进性、群众性作为妇联工作的根本标尺，坚决贯彻习近平总书记重要讲话和重要指示，自觉把党的路线方针政策和决策部署贯彻落实到妇联工作的全过程各方面，切实把党的意志和主张转化为妇女的思想自觉和行动自觉。强化理论武装。</w:t>
      </w:r>
    </w:p>
    <w:p>
      <w:pPr>
        <w:pStyle w:val="6"/>
        <w:pageBreakBefore w:val="0"/>
        <w:widowControl w:val="0"/>
        <w:kinsoku/>
        <w:wordWrap/>
        <w:overflowPunct/>
        <w:topLinePunct w:val="0"/>
        <w:autoSpaceDE/>
        <w:autoSpaceDN/>
        <w:bidi w:val="0"/>
        <w:adjustRightInd w:val="0"/>
        <w:snapToGrid w:val="0"/>
        <w:spacing w:beforeLines="0" w:line="576" w:lineRule="exact"/>
        <w:ind w:firstLine="675" w:firstLineChars="210"/>
        <w:textAlignment w:val="auto"/>
        <w:outlineLvl w:val="2"/>
        <w:rPr>
          <w:rFonts w:hint="eastAsia" w:ascii="仿宋_GB2312" w:hAnsi="仿宋_GB2312" w:eastAsia="仿宋_GB2312" w:cs="仿宋_GB2312"/>
          <w:b/>
          <w:bCs w:val="0"/>
          <w:color w:val="000000"/>
          <w:sz w:val="32"/>
          <w:szCs w:val="32"/>
        </w:rPr>
      </w:pPr>
      <w:r>
        <w:rPr>
          <w:rFonts w:hint="eastAsia" w:hAnsi="仿宋_GB2312" w:cs="仿宋_GB2312"/>
          <w:b/>
          <w:bCs w:val="0"/>
          <w:color w:val="000000"/>
          <w:sz w:val="32"/>
          <w:szCs w:val="32"/>
          <w:lang w:val="en-US" w:eastAsia="zh-CN"/>
        </w:rPr>
        <w:t>2</w:t>
      </w:r>
      <w:r>
        <w:rPr>
          <w:rFonts w:hint="eastAsia" w:ascii="仿宋_GB2312" w:hAnsi="仿宋_GB2312" w:eastAsia="仿宋_GB2312" w:cs="仿宋_GB2312"/>
          <w:b/>
          <w:bCs w:val="0"/>
          <w:color w:val="000000"/>
          <w:sz w:val="32"/>
          <w:szCs w:val="32"/>
        </w:rPr>
        <w:t>、紧扣市委“三个一、三个三”兴广战略，聚焦主责主业，全市妇女儿童工作再上新台阶。</w:t>
      </w:r>
    </w:p>
    <w:p>
      <w:pPr>
        <w:pStyle w:val="6"/>
        <w:pageBreakBefore w:val="0"/>
        <w:widowControl w:val="0"/>
        <w:kinsoku/>
        <w:wordWrap/>
        <w:overflowPunct/>
        <w:topLinePunct w:val="0"/>
        <w:autoSpaceDE/>
        <w:autoSpaceDN/>
        <w:bidi w:val="0"/>
        <w:adjustRightInd w:val="0"/>
        <w:snapToGrid w:val="0"/>
        <w:spacing w:beforeLines="0" w:line="576" w:lineRule="exact"/>
        <w:ind w:firstLine="672" w:firstLineChars="210"/>
        <w:textAlignment w:val="auto"/>
        <w:outlineLvl w:val="2"/>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w:t>
      </w:r>
      <w:r>
        <w:rPr>
          <w:rFonts w:hint="eastAsia" w:hAnsi="仿宋_GB2312" w:cs="仿宋_GB2312"/>
          <w:bCs/>
          <w:color w:val="000000"/>
          <w:sz w:val="32"/>
          <w:szCs w:val="32"/>
          <w:lang w:val="en-US" w:eastAsia="zh-CN"/>
        </w:rPr>
        <w:t>1</w:t>
      </w:r>
      <w:r>
        <w:rPr>
          <w:rFonts w:hint="eastAsia" w:ascii="仿宋_GB2312" w:hAnsi="仿宋_GB2312" w:eastAsia="仿宋_GB2312" w:cs="仿宋_GB2312"/>
          <w:bCs/>
          <w:color w:val="000000"/>
          <w:sz w:val="32"/>
          <w:szCs w:val="32"/>
        </w:rPr>
        <w:t>）实施“巾帼心向党”提升行动，思想引领工作更加凝聚人心。立足宣讲引领。“三八”期间，市委向全市广大妇女发出了慰问信并在广元日报刊载。组织100名基层妇联干部、巾帼志愿者开展百场“百千万巾帼大宣讲”活动，宣传习近平新时代中国特色社会主义思想。开办巾帼讲习所，打造“女性成长论坛”并定期举办讲座，进一步坚定广大妇女理想信念。立足活动引领。紧扣庆祝新中国成立70周年主线，“百个妇女之家、万名妇女群众开展同升国旗、同唱祖国颂歌”、组织四县三区和城区36支队伍参加广场舞展演活动，昭化区《我的祖国》、朝天区《背山号子》代表广元参加四川省第四届广场舞展演比赛，取得第三的好成绩。同时，依托女性文化研究会，开展了“我的芳华70年”“幸福的能力”讲座等活动，持续加强妇女的思想政治引领。立足典型引领。推荐评选表彰了全国、省、市级三八红旗手标兵、三八红旗手（集体）、“最美家庭”、新时代好少年、书香少年、广元市巾帼脱贫之星和广元市巾帼扶贫之星238名，受到省级以上表扬21名（个），为广大妇女和儿童树立了可敬、可亲、可学的新时代榜样。</w:t>
      </w:r>
    </w:p>
    <w:p>
      <w:pPr>
        <w:pStyle w:val="6"/>
        <w:pageBreakBefore w:val="0"/>
        <w:widowControl w:val="0"/>
        <w:kinsoku/>
        <w:wordWrap/>
        <w:overflowPunct/>
        <w:topLinePunct w:val="0"/>
        <w:autoSpaceDE/>
        <w:autoSpaceDN/>
        <w:bidi w:val="0"/>
        <w:adjustRightInd w:val="0"/>
        <w:snapToGrid w:val="0"/>
        <w:spacing w:beforeLines="0" w:line="576" w:lineRule="exact"/>
        <w:ind w:firstLine="672" w:firstLineChars="210"/>
        <w:textAlignment w:val="auto"/>
        <w:outlineLvl w:val="2"/>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w:t>
      </w:r>
      <w:r>
        <w:rPr>
          <w:rFonts w:hint="eastAsia" w:hAnsi="仿宋_GB2312" w:cs="仿宋_GB2312"/>
          <w:bCs/>
          <w:color w:val="000000"/>
          <w:sz w:val="32"/>
          <w:szCs w:val="32"/>
          <w:lang w:val="en-US" w:eastAsia="zh-CN"/>
        </w:rPr>
        <w:t>2</w:t>
      </w:r>
      <w:r>
        <w:rPr>
          <w:rFonts w:hint="eastAsia" w:ascii="仿宋_GB2312" w:hAnsi="仿宋_GB2312" w:eastAsia="仿宋_GB2312" w:cs="仿宋_GB2312"/>
          <w:bCs/>
          <w:color w:val="000000"/>
          <w:sz w:val="32"/>
          <w:szCs w:val="32"/>
        </w:rPr>
        <w:t>）实施“巾帼建新功”提升行动，服务发展大局积极主动有为。积极搭建创业平台。招商引资工作有序推进，引进四川三联家禽有限责任公司投资5亿元在昭化建设2000万只剑门关土鸡繁育及产销一体化项目，2019年到位资金1855万元。2019年引进湖北蓝缕彩色印刷股份有限公司彩色包装材料生产项目，总投资1.1亿元，2019年到位资金880万元。实施妇女创业就业。争取省级妇女居家灵活就业示范基地建设项目资金110万元。大力实施“巾帼家政培训十三五工程”,联合市人社局举办“千人职业示范培训家政品牌”培训，开展巾帼家政服务培训，培训巾帼家政人员743名。命名广元市赤化现代农业园区等10家企业为“广元市金融支持巾帼创业发展基地”。昭化区黎生中药材专业合作社认定为“全国巾帼脱贫示范基地”。实施乡村振兴战略。评选命名10户美丽标兵、100个美丽庭院、10个美丽农家乐，打造出一批乡村振兴“美丽家园”示范点。做实“归雁工程”。与浙江丽水、龙泉积极对接适合留守妇女居家灵活就业的手工编织项目９个，在昭化区建成来料加工示范点３个，“采取公司下单+成品回收”模式，签约订单2.8万件，带动妇女就业230余人。</w:t>
      </w:r>
    </w:p>
    <w:p>
      <w:pPr>
        <w:pStyle w:val="6"/>
        <w:pageBreakBefore w:val="0"/>
        <w:widowControl w:val="0"/>
        <w:kinsoku/>
        <w:wordWrap/>
        <w:overflowPunct/>
        <w:topLinePunct w:val="0"/>
        <w:autoSpaceDE/>
        <w:autoSpaceDN/>
        <w:bidi w:val="0"/>
        <w:adjustRightInd w:val="0"/>
        <w:snapToGrid w:val="0"/>
        <w:spacing w:beforeLines="0" w:line="576" w:lineRule="exact"/>
        <w:ind w:firstLine="672" w:firstLineChars="210"/>
        <w:textAlignment w:val="auto"/>
        <w:outlineLvl w:val="2"/>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w:t>
      </w:r>
      <w:r>
        <w:rPr>
          <w:rFonts w:hint="eastAsia" w:hAnsi="仿宋_GB2312" w:cs="仿宋_GB2312"/>
          <w:bCs/>
          <w:color w:val="000000"/>
          <w:sz w:val="32"/>
          <w:szCs w:val="32"/>
          <w:lang w:val="en-US" w:eastAsia="zh-CN"/>
        </w:rPr>
        <w:t>3</w:t>
      </w:r>
      <w:r>
        <w:rPr>
          <w:rFonts w:hint="eastAsia" w:ascii="仿宋_GB2312" w:hAnsi="仿宋_GB2312" w:eastAsia="仿宋_GB2312" w:cs="仿宋_GB2312"/>
          <w:bCs/>
          <w:color w:val="000000"/>
          <w:sz w:val="32"/>
          <w:szCs w:val="32"/>
        </w:rPr>
        <w:t>）实施“巾帼维权服务”提升行动，妇女权益得到有效维护。做强民生项目。把“城乡社区儿童之家”建设纳入省级民生事实，投入603万元建成300个“城乡社区儿童之家”。向上争取“两癌”资金106万元，救助106人，对建档立卡患病妇女实现全覆盖救助。实施吉祥助学、安康家园、爱心助学、东西部扶贫协作困难妇女帮扶等项目，资金157万余元，惠及妇女儿童8800余名。联合市扶贫开发局实施国奶扶贫项目，发放奶粉14240余罐，为4447个困难家庭送去“爱心奶粮”。新争取到一辆母亲健康快车落户剑阁县，目前全市共有11辆母亲健康快车，服务广大妇女儿童。做实普法宣传。实施“两纲”达标攻坚年行动，出台《广元市政策法规性别平等评估咨询工作指导意见》，在剑门中学、栖凤小学开展性别平等进课堂省级试点。发挥“广元媚儿话维权微课堂”等的品牌效益，充分利用“三·八”“6.26”等节点，开展关爱女性农民工维权、禁毒、防艾、预防校园欺凌、网络安全法等维权普法宣传活动，线上线下受众达5万人次。60个维权站点入驻省级“维权地图”，“12338”维权热线和“12345”政务热线实行双线合并运行，全年接待来访来电来信65件次。实施2018年第三批“中央专项彩票公益金法律援助项目”法律援助案件6个挽回经济损失44.61万元。</w:t>
      </w:r>
    </w:p>
    <w:p>
      <w:pPr>
        <w:pStyle w:val="6"/>
        <w:pageBreakBefore w:val="0"/>
        <w:widowControl w:val="0"/>
        <w:kinsoku/>
        <w:wordWrap/>
        <w:overflowPunct/>
        <w:topLinePunct w:val="0"/>
        <w:autoSpaceDE/>
        <w:autoSpaceDN/>
        <w:bidi w:val="0"/>
        <w:adjustRightInd w:val="0"/>
        <w:snapToGrid w:val="0"/>
        <w:spacing w:beforeLines="0" w:line="576" w:lineRule="exact"/>
        <w:ind w:firstLine="672" w:firstLineChars="210"/>
        <w:textAlignment w:val="auto"/>
        <w:outlineLvl w:val="2"/>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w:t>
      </w:r>
      <w:r>
        <w:rPr>
          <w:rFonts w:hint="eastAsia" w:hAnsi="仿宋_GB2312" w:cs="仿宋_GB2312"/>
          <w:bCs/>
          <w:color w:val="000000"/>
          <w:sz w:val="32"/>
          <w:szCs w:val="32"/>
          <w:lang w:val="en-US" w:eastAsia="zh-CN"/>
        </w:rPr>
        <w:t>4</w:t>
      </w:r>
      <w:r>
        <w:rPr>
          <w:rFonts w:hint="eastAsia" w:ascii="仿宋_GB2312" w:hAnsi="仿宋_GB2312" w:eastAsia="仿宋_GB2312" w:cs="仿宋_GB2312"/>
          <w:bCs/>
          <w:color w:val="000000"/>
          <w:sz w:val="32"/>
          <w:szCs w:val="32"/>
        </w:rPr>
        <w:t>）实施“家家幸福安康工程”，家庭文明建设呈现勃勃生机。家风涵养深入人心。联合市纪委监委、市委组织部连续四年开展“传家风、立政德”活动，组织市级涉改新任领导干部及配偶共计150余人参加活动，分享家风故事。常态化开展寻找“最美家庭”活动，李自兴家庭、陈凯生家庭荣获2018年度全国“最美家庭”荣誉称号。与市委组织部在上西火车站开展关爱农民工“回家行动”，通过组织联谊、慰问等形式，及时传递党和政府对农民工及其家庭的关心关怀。组织七个届别组妇女代表开展“我为女性农民工办件事”活动，共举办各类活动30余次，联系和服务女性农民工2100余人。加强未成年人思想道德建设。承办省妇联“‘书香飘万家’家庭亲子阅读展示活动走进广元暨中国妇基会‘家校平安’公益项目”启动仪式。组织185名留守儿童赴北京、浙江、市城区开展游学夏令营活动。“六·一”期间，联合市党建扶贫协调小组办公室组织全市100个党组织到帮扶村、学校开展慰问困境儿童、留守儿童等各类少年儿童11.4万人，发放慰问金、物资共计300余万元。依托家庭教育学会，开展母亲节亲子阅读、家风家教宣传、家庭教育讲座、网上微课等112余场次，16000余名学生及家长受益。</w:t>
      </w:r>
    </w:p>
    <w:p>
      <w:pPr>
        <w:pStyle w:val="6"/>
        <w:pageBreakBefore w:val="0"/>
        <w:widowControl w:val="0"/>
        <w:kinsoku/>
        <w:wordWrap/>
        <w:overflowPunct/>
        <w:topLinePunct w:val="0"/>
        <w:autoSpaceDE/>
        <w:autoSpaceDN/>
        <w:bidi w:val="0"/>
        <w:adjustRightInd w:val="0"/>
        <w:snapToGrid w:val="0"/>
        <w:spacing w:beforeLines="0" w:line="576" w:lineRule="exact"/>
        <w:ind w:firstLine="672" w:firstLineChars="210"/>
        <w:textAlignment w:val="auto"/>
        <w:outlineLvl w:val="2"/>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w:t>
      </w:r>
      <w:r>
        <w:rPr>
          <w:rFonts w:hint="eastAsia" w:hAnsi="仿宋_GB2312" w:cs="仿宋_GB2312"/>
          <w:bCs/>
          <w:color w:val="000000"/>
          <w:sz w:val="32"/>
          <w:szCs w:val="32"/>
          <w:lang w:val="en-US" w:eastAsia="zh-CN"/>
        </w:rPr>
        <w:t>5</w:t>
      </w:r>
      <w:r>
        <w:rPr>
          <w:rFonts w:hint="eastAsia" w:ascii="仿宋_GB2312" w:hAnsi="仿宋_GB2312" w:eastAsia="仿宋_GB2312" w:cs="仿宋_GB2312"/>
          <w:bCs/>
          <w:color w:val="000000"/>
          <w:sz w:val="32"/>
          <w:szCs w:val="32"/>
        </w:rPr>
        <w:t>）深化妇联组织改革取得新进展。有效激活妇联组织活力。按照一手抓骨干组织的巩固发展，一手抓新兴组织的培育引导的原则，持续巩固乡镇区域化、村（社区）会改联和社会组织联盟建设工作，通过主动牵头建、引导助推建等方式，在市医保局等11个机关单位新成立了机关妇委会。采取“驻外办事处（商会）党委（党支部）+妇女之家+女性农民工”的模式，在北京、宁波等建立“流动妇女之家”。在广场舞大妈、楼宇商圈、女性集中的基地、书吧等群体中建立妇女微家85个，在利州区大石镇快乐社区打造省级示范“妇女之家”1所，实现了妇女怎么聚焦就怎么建妇女组织，怎么管用就怎么建妇女组织，延伸了服务妇女儿童工作的手臂。不断增强基层队伍战斗力。注重分级分类精准培训，连续五年把女干部的培训纳入市委高层次人才培训整体规划，联合市委组织部在浙江生态文明干部学院举办第五期女性领导力提升专题研修班，在市妇女活动中心和基层妇联执委暨基层妇联干部培训班，全年组织各级妇联主席、执委、女干部281人参加省妇联举办的执委培训班和外出学习培训。组织了7029名女性注册女性享学吧并参与精彩人生女性终身学习计划。加大妇联干部的培养，市委组织对提拔使用的47名女干部全部征求市妇联意见，市妇联机关２名干部被提拔重用，进一步提高妇联干部履职能力和影响力。全面网上妇联的凝聚力。全市四级妇联干部全部入驻＂妇联通＂，形成新媒体矩阵一呼百应、多方联动、高效协同、集体发声的工作格局。创新互联网时代妇联工作，有效开展＂妇联＋互联网＂各类服务活动，利用“两网三微两平台N群”，组织广大女性参与“时代新人说，我和祖国共成长”、《家风故事汇》等宣传教育活动、开展网上评论。组织开展“两星”最美家庭网络评选等活动，不断拓展妇联“朋友圈”。全年推送稿600余篇，访问量达到40万人次，新媒体帐号在全国、省妇联系统持续进入红榜。积极开展对内对外交流合作。积极开展东西部扶贫互访，强化与浙江地区妇联组织交流合作，组织市县妇联主席先后赴浙江宁波市、丽水市、湖州市等6个市县开展对点互访交流，搭建合作平台。湖州市妇联、兰州市妇联、绵阳市妇联、广安市妇联先后到我市开展交流活动，加强工作对接和合作交流。</w:t>
      </w:r>
    </w:p>
    <w:p>
      <w:pPr>
        <w:pStyle w:val="6"/>
        <w:pageBreakBefore w:val="0"/>
        <w:widowControl w:val="0"/>
        <w:kinsoku/>
        <w:wordWrap/>
        <w:overflowPunct/>
        <w:topLinePunct w:val="0"/>
        <w:autoSpaceDE/>
        <w:autoSpaceDN/>
        <w:bidi w:val="0"/>
        <w:adjustRightInd w:val="0"/>
        <w:snapToGrid w:val="0"/>
        <w:spacing w:beforeLines="0" w:line="576" w:lineRule="exact"/>
        <w:ind w:firstLine="675" w:firstLineChars="210"/>
        <w:textAlignment w:val="auto"/>
        <w:outlineLvl w:val="2"/>
        <w:rPr>
          <w:rFonts w:hint="eastAsia" w:ascii="仿宋_GB2312" w:hAnsi="仿宋_GB2312" w:eastAsia="仿宋_GB2312" w:cs="仿宋_GB2312"/>
          <w:b/>
          <w:bCs w:val="0"/>
          <w:color w:val="000000"/>
          <w:sz w:val="32"/>
          <w:szCs w:val="32"/>
        </w:rPr>
      </w:pPr>
      <w:r>
        <w:rPr>
          <w:rFonts w:hint="eastAsia" w:hAnsi="仿宋_GB2312" w:cs="仿宋_GB2312"/>
          <w:b/>
          <w:bCs w:val="0"/>
          <w:color w:val="000000"/>
          <w:sz w:val="32"/>
          <w:szCs w:val="32"/>
          <w:lang w:val="en-US" w:eastAsia="zh-CN"/>
        </w:rPr>
        <w:t>3</w:t>
      </w:r>
      <w:r>
        <w:rPr>
          <w:rFonts w:hint="eastAsia" w:ascii="仿宋_GB2312" w:hAnsi="仿宋_GB2312" w:eastAsia="仿宋_GB2312" w:cs="仿宋_GB2312"/>
          <w:b/>
          <w:bCs w:val="0"/>
          <w:color w:val="000000"/>
          <w:sz w:val="32"/>
          <w:szCs w:val="32"/>
        </w:rPr>
        <w:t>、攻坚克难，迎难而上，高质量完成市委市政府中心工作。</w:t>
      </w:r>
    </w:p>
    <w:p>
      <w:pPr>
        <w:pStyle w:val="6"/>
        <w:pageBreakBefore w:val="0"/>
        <w:widowControl w:val="0"/>
        <w:kinsoku/>
        <w:wordWrap/>
        <w:overflowPunct/>
        <w:topLinePunct w:val="0"/>
        <w:autoSpaceDE/>
        <w:autoSpaceDN/>
        <w:bidi w:val="0"/>
        <w:adjustRightInd w:val="0"/>
        <w:snapToGrid w:val="0"/>
        <w:spacing w:beforeLines="0" w:line="576" w:lineRule="exact"/>
        <w:ind w:firstLine="672" w:firstLineChars="210"/>
        <w:textAlignment w:val="auto"/>
        <w:outlineLvl w:val="2"/>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扎实推进脱贫攻坚工作。做实剑阁县广坪乡前途村和汉阳镇壮岭村120户贫困户结对帮扶工作，全面接受省考核评估和国家绩效验收。协调落实前途和壮岭产业发展、环卫设施等8个项目资金32万元。完成前途村一个易地搬迁聚居点配套基础设施建设。协调新建4口山坪塘、防旱池，5处堰塘清淤加固，3公里通组道路硬化施工，完成壮岭村公路硬化2公里。推进前途村中药材、羌脆李等集体产业实现收入5.9万元，建成户办小庭院经济200亩，实现收益30余万元。全覆盖开展脱贫攻坚大排查，开展脱贫政策、“两好”习惯宣传培训、送文化下乡、“扶贫日”等活动40余次，主要领导及班子成员全覆盖走访贫困户和非贫困户，慰问贫困户500余人（户）次，全年以购代扶帮助销售农副产品6万余元。承担全国文明城市创建４个分指挥部工作任务，认真履行职责，全面完成迎检任务。高标准承办2019年女儿节。开幕式暨凤舟赛、“女皇味道”美食嘉年华、“瞾动广元”音乐节、“相约广元·情定昭化”相亲大会、“盛世踏歌”狂欢夜、2019中国羽毛球协会业余俱乐部联赛、全国女子桥牌邀请赛、“醉美女儿节”女性商品展、知名女企业家恳谈会、中国独角兽商机大会等活动吸引了来自全国各地的客商和游客，受到广大市民和来宾的一致好评，并荣获“壮丽70周年70个品牌节庆金手指奖”。</w:t>
      </w:r>
    </w:p>
    <w:p>
      <w:pPr>
        <w:pStyle w:val="3"/>
        <w:pageBreakBefore w:val="0"/>
        <w:widowControl w:val="0"/>
        <w:numPr>
          <w:numId w:val="0"/>
        </w:numPr>
        <w:kinsoku/>
        <w:wordWrap/>
        <w:overflowPunct/>
        <w:topLinePunct w:val="0"/>
        <w:autoSpaceDE/>
        <w:autoSpaceDN/>
        <w:bidi w:val="0"/>
        <w:spacing w:before="0" w:after="0" w:line="576" w:lineRule="exact"/>
        <w:ind w:firstLine="640" w:firstLineChars="200"/>
        <w:textAlignment w:val="auto"/>
        <w:rPr>
          <w:rStyle w:val="32"/>
          <w:rFonts w:hint="eastAsia" w:ascii="黑体" w:hAnsi="黑体" w:eastAsia="黑体" w:cs="黑体"/>
          <w:b w:val="0"/>
          <w:bCs w:val="0"/>
          <w:sz w:val="32"/>
          <w:szCs w:val="32"/>
        </w:rPr>
      </w:pPr>
      <w:bookmarkStart w:id="20" w:name="_Toc15377200"/>
      <w:bookmarkStart w:id="21" w:name="_Toc15396601"/>
      <w:r>
        <w:rPr>
          <w:rFonts w:hint="eastAsia" w:ascii="黑体" w:hAnsi="黑体" w:eastAsia="黑体" w:cs="黑体"/>
          <w:b w:val="0"/>
          <w:color w:val="000000"/>
          <w:sz w:val="32"/>
          <w:szCs w:val="32"/>
          <w:lang w:eastAsia="zh-CN"/>
        </w:rPr>
        <w:t>二、</w:t>
      </w:r>
      <w:r>
        <w:rPr>
          <w:rFonts w:hint="eastAsia" w:ascii="黑体" w:hAnsi="黑体" w:eastAsia="黑体" w:cs="黑体"/>
          <w:b w:val="0"/>
          <w:color w:val="000000"/>
          <w:sz w:val="32"/>
          <w:szCs w:val="32"/>
        </w:rPr>
        <w:t>机</w:t>
      </w:r>
      <w:r>
        <w:rPr>
          <w:rStyle w:val="32"/>
          <w:rFonts w:hint="eastAsia" w:ascii="黑体" w:hAnsi="黑体" w:eastAsia="黑体" w:cs="黑体"/>
          <w:b w:val="0"/>
          <w:bCs w:val="0"/>
          <w:sz w:val="32"/>
          <w:szCs w:val="32"/>
        </w:rPr>
        <w:t>构设置</w:t>
      </w:r>
      <w:bookmarkEnd w:id="20"/>
      <w:bookmarkEnd w:id="21"/>
    </w:p>
    <w:p>
      <w:pPr>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Cs/>
          <w:color w:val="000000"/>
          <w:kern w:val="0"/>
          <w:sz w:val="32"/>
          <w:szCs w:val="32"/>
        </w:rPr>
        <w:t>广元市妇女联合会下属二级预算单位1个，其中行政单位0个。总编制16名，其中行政编制9名，其他事业编制5名，工勤编制2名。在职人员总数15人，其中行政人员9人，其他事业人员4人，工勤人员2人；离休人员0人，退休人员8人。纳入广元市妇女联合会2019年度部门决算编制范围的二级预算单位包括：广元市妇女联合会本级、会属事业单位。</w:t>
      </w:r>
    </w:p>
    <w:p>
      <w:pPr>
        <w:pageBreakBefore w:val="0"/>
        <w:widowControl w:val="0"/>
        <w:kinsoku/>
        <w:wordWrap/>
        <w:overflowPunct/>
        <w:topLinePunct w:val="0"/>
        <w:autoSpaceDE/>
        <w:autoSpaceDN/>
        <w:bidi w:val="0"/>
        <w:spacing w:line="576" w:lineRule="exact"/>
        <w:textAlignment w:val="auto"/>
        <w:rPr>
          <w:rFonts w:hint="eastAsia" w:ascii="仿宋_GB2312" w:hAnsi="仿宋_GB2312" w:eastAsia="仿宋_GB2312" w:cs="仿宋_GB2312"/>
          <w:bCs/>
          <w:color w:val="000000"/>
          <w:kern w:val="0"/>
          <w:sz w:val="32"/>
          <w:szCs w:val="32"/>
        </w:rPr>
      </w:pPr>
    </w:p>
    <w:p>
      <w:pPr>
        <w:spacing w:line="360" w:lineRule="auto"/>
        <w:rPr>
          <w:rFonts w:ascii="仿宋" w:hAnsi="仿宋" w:eastAsia="仿宋"/>
          <w:bCs/>
          <w:color w:val="000000"/>
          <w:kern w:val="0"/>
          <w:sz w:val="24"/>
        </w:rPr>
      </w:pPr>
    </w:p>
    <w:p>
      <w:pPr>
        <w:spacing w:line="360" w:lineRule="auto"/>
        <w:rPr>
          <w:rFonts w:ascii="仿宋" w:hAnsi="仿宋" w:eastAsia="仿宋"/>
          <w:bCs/>
          <w:color w:val="000000"/>
          <w:kern w:val="0"/>
          <w:sz w:val="24"/>
        </w:rPr>
      </w:pPr>
    </w:p>
    <w:p>
      <w:pPr>
        <w:spacing w:line="360" w:lineRule="auto"/>
        <w:rPr>
          <w:rFonts w:ascii="仿宋" w:hAnsi="仿宋" w:eastAsia="仿宋"/>
          <w:bCs/>
          <w:color w:val="000000"/>
          <w:kern w:val="0"/>
          <w:sz w:val="24"/>
        </w:rPr>
      </w:pPr>
    </w:p>
    <w:p>
      <w:pPr>
        <w:spacing w:line="360" w:lineRule="auto"/>
        <w:rPr>
          <w:rFonts w:ascii="仿宋" w:hAnsi="仿宋" w:eastAsia="仿宋"/>
          <w:bCs/>
          <w:color w:val="000000"/>
          <w:kern w:val="0"/>
          <w:sz w:val="24"/>
        </w:rPr>
      </w:pPr>
    </w:p>
    <w:p>
      <w:pPr>
        <w:spacing w:line="360" w:lineRule="auto"/>
        <w:rPr>
          <w:rFonts w:ascii="仿宋" w:hAnsi="仿宋" w:eastAsia="仿宋"/>
          <w:bCs/>
          <w:color w:val="000000"/>
          <w:kern w:val="0"/>
          <w:sz w:val="24"/>
        </w:rPr>
      </w:pPr>
    </w:p>
    <w:p>
      <w:pPr>
        <w:spacing w:line="360" w:lineRule="auto"/>
        <w:rPr>
          <w:rFonts w:ascii="仿宋" w:hAnsi="仿宋" w:eastAsia="仿宋"/>
          <w:bCs/>
          <w:color w:val="000000"/>
          <w:kern w:val="0"/>
          <w:sz w:val="24"/>
        </w:rPr>
      </w:pPr>
    </w:p>
    <w:p>
      <w:pPr>
        <w:spacing w:line="360" w:lineRule="auto"/>
        <w:rPr>
          <w:rFonts w:ascii="仿宋" w:hAnsi="仿宋" w:eastAsia="仿宋"/>
          <w:bCs/>
          <w:color w:val="000000"/>
          <w:kern w:val="0"/>
          <w:sz w:val="24"/>
        </w:rPr>
      </w:pPr>
    </w:p>
    <w:p>
      <w:pPr>
        <w:spacing w:line="360" w:lineRule="auto"/>
        <w:rPr>
          <w:rFonts w:ascii="仿宋" w:hAnsi="仿宋" w:eastAsia="仿宋"/>
          <w:bCs/>
          <w:color w:val="000000"/>
          <w:kern w:val="0"/>
          <w:sz w:val="24"/>
        </w:rPr>
      </w:pPr>
    </w:p>
    <w:p>
      <w:pPr>
        <w:spacing w:line="360" w:lineRule="auto"/>
        <w:rPr>
          <w:rFonts w:ascii="仿宋" w:hAnsi="仿宋" w:eastAsia="仿宋"/>
          <w:bCs/>
          <w:color w:val="000000"/>
          <w:kern w:val="0"/>
          <w:sz w:val="24"/>
        </w:rPr>
      </w:pPr>
    </w:p>
    <w:p>
      <w:pPr>
        <w:spacing w:line="360" w:lineRule="auto"/>
        <w:rPr>
          <w:rFonts w:ascii="仿宋" w:hAnsi="仿宋" w:eastAsia="仿宋"/>
          <w:bCs/>
          <w:color w:val="000000"/>
          <w:kern w:val="0"/>
          <w:sz w:val="24"/>
        </w:rPr>
      </w:pPr>
    </w:p>
    <w:p>
      <w:pPr>
        <w:spacing w:line="360" w:lineRule="auto"/>
        <w:rPr>
          <w:rFonts w:ascii="仿宋" w:hAnsi="仿宋" w:eastAsia="仿宋"/>
          <w:bCs/>
          <w:color w:val="000000"/>
          <w:kern w:val="0"/>
          <w:sz w:val="24"/>
        </w:rPr>
      </w:pPr>
    </w:p>
    <w:p>
      <w:pPr>
        <w:spacing w:line="360" w:lineRule="auto"/>
        <w:rPr>
          <w:rFonts w:ascii="仿宋" w:hAnsi="仿宋" w:eastAsia="仿宋"/>
          <w:bCs/>
          <w:color w:val="000000"/>
          <w:kern w:val="0"/>
          <w:sz w:val="24"/>
        </w:rPr>
      </w:pPr>
    </w:p>
    <w:p>
      <w:pPr>
        <w:spacing w:line="360" w:lineRule="auto"/>
        <w:rPr>
          <w:rFonts w:ascii="仿宋" w:hAnsi="仿宋" w:eastAsia="仿宋"/>
          <w:bCs/>
          <w:color w:val="000000"/>
          <w:kern w:val="0"/>
          <w:sz w:val="24"/>
        </w:rPr>
      </w:pPr>
    </w:p>
    <w:p>
      <w:pPr>
        <w:spacing w:line="360" w:lineRule="auto"/>
        <w:rPr>
          <w:rFonts w:ascii="仿宋" w:hAnsi="仿宋" w:eastAsia="仿宋"/>
          <w:bCs/>
          <w:color w:val="000000"/>
          <w:kern w:val="0"/>
          <w:sz w:val="24"/>
        </w:rPr>
      </w:pPr>
    </w:p>
    <w:p>
      <w:pPr>
        <w:spacing w:line="360" w:lineRule="auto"/>
        <w:rPr>
          <w:rFonts w:ascii="仿宋" w:hAnsi="仿宋" w:eastAsia="仿宋"/>
          <w:bCs/>
          <w:color w:val="000000"/>
          <w:kern w:val="0"/>
          <w:sz w:val="24"/>
        </w:rPr>
      </w:pPr>
    </w:p>
    <w:p>
      <w:pPr>
        <w:spacing w:line="360" w:lineRule="auto"/>
        <w:rPr>
          <w:rFonts w:ascii="仿宋" w:hAnsi="仿宋" w:eastAsia="仿宋"/>
          <w:bCs/>
          <w:color w:val="000000"/>
          <w:kern w:val="0"/>
          <w:sz w:val="24"/>
        </w:rPr>
      </w:pPr>
    </w:p>
    <w:p>
      <w:pPr>
        <w:pStyle w:val="2"/>
        <w:spacing w:line="360" w:lineRule="auto"/>
        <w:ind w:right="440"/>
        <w:jc w:val="center"/>
        <w:rPr>
          <w:sz w:val="32"/>
          <w:szCs w:val="32"/>
        </w:rPr>
      </w:pPr>
      <w:bookmarkStart w:id="22" w:name="_Toc15396602"/>
      <w:bookmarkStart w:id="23" w:name="_Toc15377204"/>
      <w:r>
        <w:rPr>
          <w:rFonts w:hint="eastAsia" w:ascii="黑体" w:hAnsi="黑体" w:eastAsia="黑体"/>
          <w:b w:val="0"/>
          <w:color w:val="000000"/>
          <w:sz w:val="32"/>
          <w:szCs w:val="32"/>
        </w:rPr>
        <w:t>第二部分</w:t>
      </w:r>
      <w:r>
        <w:rPr>
          <w:rFonts w:hint="eastAsia" w:ascii="黑体" w:hAnsi="黑体" w:eastAsia="黑体"/>
          <w:b w:val="0"/>
          <w:color w:val="000000"/>
          <w:sz w:val="32"/>
          <w:szCs w:val="32"/>
          <w:lang w:val="en-US" w:eastAsia="zh-CN"/>
        </w:rPr>
        <w:t xml:space="preserve">  </w:t>
      </w:r>
      <w:r>
        <w:rPr>
          <w:rStyle w:val="31"/>
          <w:rFonts w:hint="eastAsia" w:ascii="黑体" w:hAnsi="黑体" w:eastAsia="黑体"/>
          <w:b w:val="0"/>
          <w:bCs w:val="0"/>
          <w:sz w:val="32"/>
          <w:szCs w:val="32"/>
        </w:rPr>
        <w:t>2019年度部门决算情况说明</w:t>
      </w:r>
      <w:bookmarkEnd w:id="22"/>
      <w:bookmarkEnd w:id="23"/>
    </w:p>
    <w:p>
      <w:pPr>
        <w:pStyle w:val="30"/>
        <w:numPr>
          <w:ilvl w:val="0"/>
          <w:numId w:val="2"/>
        </w:numPr>
        <w:spacing w:line="360" w:lineRule="auto"/>
        <w:ind w:firstLineChars="0"/>
        <w:outlineLvl w:val="1"/>
        <w:rPr>
          <w:rStyle w:val="32"/>
          <w:rFonts w:ascii="黑体" w:hAnsi="黑体" w:eastAsia="黑体"/>
          <w:b w:val="0"/>
          <w:sz w:val="32"/>
          <w:szCs w:val="32"/>
        </w:rPr>
      </w:pPr>
      <w:bookmarkStart w:id="24" w:name="_Toc15396603"/>
      <w:bookmarkStart w:id="25" w:name="_Toc15377205"/>
      <w:r>
        <w:rPr>
          <w:rFonts w:hint="eastAsia" w:ascii="黑体" w:hAnsi="黑体" w:eastAsia="黑体"/>
          <w:color w:val="000000"/>
          <w:sz w:val="32"/>
          <w:szCs w:val="32"/>
        </w:rPr>
        <w:t>收</w:t>
      </w:r>
      <w:r>
        <w:rPr>
          <w:rStyle w:val="32"/>
          <w:rFonts w:hint="eastAsia" w:ascii="黑体" w:hAnsi="黑体" w:eastAsia="黑体"/>
          <w:b w:val="0"/>
          <w:sz w:val="32"/>
          <w:szCs w:val="32"/>
        </w:rPr>
        <w:t>入支出决算总体情况说明</w:t>
      </w:r>
      <w:bookmarkEnd w:id="24"/>
      <w:bookmarkEnd w:id="25"/>
    </w:p>
    <w:p>
      <w:pPr>
        <w:spacing w:line="360" w:lineRule="auto"/>
        <w:ind w:firstLine="640" w:firstLineChars="200"/>
        <w:rPr>
          <w:rFonts w:ascii="仿宋" w:hAnsi="仿宋" w:eastAsia="仿宋"/>
          <w:color w:val="000000"/>
          <w:sz w:val="24"/>
        </w:rPr>
      </w:pPr>
      <w:r>
        <w:rPr>
          <w:rFonts w:hint="eastAsia" w:ascii="仿宋_GB2312" w:hAnsi="仿宋_GB2312" w:eastAsia="仿宋_GB2312" w:cs="仿宋_GB2312"/>
          <w:color w:val="000000"/>
          <w:sz w:val="32"/>
          <w:szCs w:val="32"/>
        </w:rPr>
        <w:t>2019年度收、支总计466.07万元。与2018年相比，收入减少88万元、支出减少68万元，收入下降17.4%。支出下降15.54%。主要变动原因是严格控制经费开支。</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562" w:firstLineChars="200"/>
        <w:jc w:val="center"/>
        <w:textAlignment w:val="auto"/>
        <w:rPr>
          <w:rFonts w:hint="eastAsia"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收、支决算总计变动情况图</w:t>
      </w:r>
    </w:p>
    <w:p>
      <w:pPr>
        <w:spacing w:line="360" w:lineRule="auto"/>
        <w:ind w:firstLine="560" w:firstLineChars="200"/>
        <w:rPr>
          <w:rFonts w:ascii="仿宋" w:hAnsi="仿宋" w:eastAsia="仿宋"/>
          <w:color w:val="000000" w:themeColor="text1"/>
          <w:sz w:val="24"/>
        </w:rPr>
      </w:pPr>
      <w:r>
        <w:rPr>
          <w:sz w:val="28"/>
          <w:szCs w:val="28"/>
        </w:rPr>
        <w:drawing>
          <wp:anchor distT="0" distB="0" distL="114300" distR="114300" simplePos="0" relativeHeight="251658240" behindDoc="1" locked="0" layoutInCell="1" allowOverlap="1">
            <wp:simplePos x="0" y="0"/>
            <wp:positionH relativeFrom="column">
              <wp:posOffset>956310</wp:posOffset>
            </wp:positionH>
            <wp:positionV relativeFrom="paragraph">
              <wp:posOffset>35560</wp:posOffset>
            </wp:positionV>
            <wp:extent cx="3836670" cy="2038350"/>
            <wp:effectExtent l="0" t="0" r="3810"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3836670" cy="2038350"/>
                    </a:xfrm>
                    <a:prstGeom prst="rect">
                      <a:avLst/>
                    </a:prstGeom>
                    <a:noFill/>
                    <a:ln>
                      <a:noFill/>
                    </a:ln>
                  </pic:spPr>
                </pic:pic>
              </a:graphicData>
            </a:graphic>
          </wp:anchor>
        </w:drawing>
      </w:r>
    </w:p>
    <w:p>
      <w:pPr>
        <w:spacing w:line="360" w:lineRule="auto"/>
        <w:ind w:firstLine="480" w:firstLineChars="200"/>
        <w:jc w:val="left"/>
        <w:rPr>
          <w:rFonts w:ascii="仿宋_GB2312" w:eastAsia="仿宋_GB2312"/>
          <w:color w:val="000000"/>
          <w:sz w:val="24"/>
        </w:rPr>
      </w:pPr>
    </w:p>
    <w:p>
      <w:pPr>
        <w:pStyle w:val="30"/>
        <w:spacing w:line="360" w:lineRule="auto"/>
        <w:ind w:left="640" w:firstLine="0" w:firstLineChars="0"/>
        <w:outlineLvl w:val="1"/>
        <w:rPr>
          <w:rStyle w:val="32"/>
          <w:rFonts w:ascii="黑体" w:hAnsi="黑体" w:eastAsia="黑体"/>
          <w:b w:val="0"/>
          <w:sz w:val="24"/>
          <w:szCs w:val="24"/>
        </w:rPr>
      </w:pPr>
      <w:bookmarkStart w:id="26" w:name="_Toc15396604"/>
      <w:bookmarkStart w:id="27" w:name="_Toc15377206"/>
    </w:p>
    <w:p>
      <w:pPr>
        <w:pStyle w:val="30"/>
        <w:spacing w:line="360" w:lineRule="auto"/>
        <w:ind w:left="640" w:firstLine="0" w:firstLineChars="0"/>
        <w:outlineLvl w:val="1"/>
        <w:rPr>
          <w:rStyle w:val="32"/>
          <w:rFonts w:ascii="黑体" w:hAnsi="黑体" w:eastAsia="黑体"/>
          <w:b w:val="0"/>
          <w:sz w:val="24"/>
          <w:szCs w:val="24"/>
        </w:rPr>
      </w:pPr>
    </w:p>
    <w:p>
      <w:pPr>
        <w:pStyle w:val="30"/>
        <w:spacing w:line="360" w:lineRule="auto"/>
        <w:ind w:firstLine="0" w:firstLineChars="0"/>
        <w:outlineLvl w:val="1"/>
        <w:rPr>
          <w:rStyle w:val="32"/>
          <w:rFonts w:ascii="黑体" w:hAnsi="黑体" w:eastAsia="黑体"/>
          <w:b w:val="0"/>
          <w:sz w:val="24"/>
          <w:szCs w:val="24"/>
        </w:rPr>
      </w:pPr>
    </w:p>
    <w:p>
      <w:pPr>
        <w:pStyle w:val="30"/>
        <w:spacing w:line="360" w:lineRule="auto"/>
        <w:ind w:firstLine="0" w:firstLineChars="0"/>
        <w:outlineLvl w:val="1"/>
        <w:rPr>
          <w:rStyle w:val="32"/>
          <w:rFonts w:ascii="黑体" w:hAnsi="黑体" w:eastAsia="黑体"/>
          <w:b w:val="0"/>
          <w:sz w:val="24"/>
          <w:szCs w:val="24"/>
        </w:rPr>
      </w:pPr>
    </w:p>
    <w:p>
      <w:pPr>
        <w:pStyle w:val="30"/>
        <w:spacing w:line="360" w:lineRule="auto"/>
        <w:ind w:firstLine="0" w:firstLineChars="0"/>
        <w:outlineLvl w:val="1"/>
        <w:rPr>
          <w:rStyle w:val="32"/>
          <w:rFonts w:ascii="黑体" w:hAnsi="黑体" w:eastAsia="黑体"/>
          <w:b w:val="0"/>
          <w:sz w:val="24"/>
          <w:szCs w:val="24"/>
        </w:rPr>
      </w:pPr>
    </w:p>
    <w:p>
      <w:pPr>
        <w:pStyle w:val="30"/>
        <w:keepNext w:val="0"/>
        <w:keepLines w:val="0"/>
        <w:pageBreakBefore w:val="0"/>
        <w:widowControl w:val="0"/>
        <w:numPr>
          <w:ilvl w:val="0"/>
          <w:numId w:val="2"/>
        </w:numPr>
        <w:kinsoku/>
        <w:wordWrap/>
        <w:overflowPunct/>
        <w:topLinePunct w:val="0"/>
        <w:autoSpaceDE/>
        <w:autoSpaceDN/>
        <w:bidi w:val="0"/>
        <w:adjustRightInd/>
        <w:snapToGrid/>
        <w:spacing w:before="157" w:beforeLines="50" w:line="360" w:lineRule="exact"/>
        <w:ind w:left="1361" w:firstLineChars="0"/>
        <w:textAlignment w:val="auto"/>
        <w:outlineLvl w:val="1"/>
        <w:rPr>
          <w:rStyle w:val="32"/>
          <w:rFonts w:ascii="黑体" w:hAnsi="黑体" w:eastAsia="黑体"/>
          <w:b w:val="0"/>
          <w:sz w:val="32"/>
          <w:szCs w:val="32"/>
        </w:rPr>
      </w:pPr>
      <w:r>
        <w:rPr>
          <w:rFonts w:hint="eastAsia" w:ascii="黑体" w:hAnsi="黑体" w:eastAsia="黑体"/>
          <w:color w:val="000000"/>
          <w:sz w:val="32"/>
          <w:szCs w:val="32"/>
        </w:rPr>
        <w:t>收</w:t>
      </w:r>
      <w:r>
        <w:rPr>
          <w:rStyle w:val="32"/>
          <w:rFonts w:hint="eastAsia" w:ascii="黑体" w:hAnsi="黑体" w:eastAsia="黑体"/>
          <w:b w:val="0"/>
          <w:sz w:val="32"/>
          <w:szCs w:val="32"/>
        </w:rPr>
        <w:t>入决算情况说明</w:t>
      </w:r>
      <w:bookmarkEnd w:id="26"/>
      <w:bookmarkEnd w:id="27"/>
    </w:p>
    <w:p>
      <w:pPr>
        <w:pStyle w:val="30"/>
        <w:keepNext w:val="0"/>
        <w:keepLines w:val="0"/>
        <w:pageBreakBefore w:val="0"/>
        <w:widowControl w:val="0"/>
        <w:kinsoku/>
        <w:wordWrap/>
        <w:overflowPunct/>
        <w:topLinePunct w:val="0"/>
        <w:autoSpaceDE/>
        <w:autoSpaceDN/>
        <w:bidi w:val="0"/>
        <w:adjustRightInd/>
        <w:snapToGrid/>
        <w:spacing w:line="500" w:lineRule="exact"/>
        <w:ind w:left="641" w:firstLine="480"/>
        <w:textAlignment w:val="auto"/>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2019年本年收入合计418.35万元，其中：一般公共预算财政拨款收入418.35万元，占100%。</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562" w:firstLineChars="200"/>
        <w:jc w:val="center"/>
        <w:textAlignment w:val="auto"/>
        <w:rPr>
          <w:rFonts w:hint="eastAsia"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收入决算结构图</w:t>
      </w:r>
    </w:p>
    <w:p>
      <w:pPr>
        <w:spacing w:line="360" w:lineRule="auto"/>
        <w:ind w:firstLine="480" w:firstLineChars="200"/>
        <w:rPr>
          <w:rFonts w:ascii="仿宋_GB2312" w:eastAsia="仿宋_GB2312"/>
          <w:color w:val="FF0000"/>
          <w:sz w:val="24"/>
        </w:rPr>
      </w:pPr>
      <w:r>
        <w:rPr>
          <w:sz w:val="24"/>
        </w:rPr>
        <w:drawing>
          <wp:anchor distT="0" distB="0" distL="114300" distR="114300" simplePos="0" relativeHeight="251660288" behindDoc="1" locked="0" layoutInCell="1" allowOverlap="1">
            <wp:simplePos x="0" y="0"/>
            <wp:positionH relativeFrom="column">
              <wp:posOffset>1002030</wp:posOffset>
            </wp:positionH>
            <wp:positionV relativeFrom="paragraph">
              <wp:posOffset>5715</wp:posOffset>
            </wp:positionV>
            <wp:extent cx="3905250" cy="1957070"/>
            <wp:effectExtent l="0" t="0" r="11430" b="39370"/>
            <wp:wrapNone/>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360" w:lineRule="auto"/>
        <w:ind w:firstLine="480" w:firstLineChars="200"/>
        <w:rPr>
          <w:rFonts w:ascii="仿宋_GB2312" w:eastAsia="仿宋_GB2312"/>
          <w:color w:val="FF0000"/>
          <w:sz w:val="24"/>
        </w:rPr>
      </w:pPr>
    </w:p>
    <w:p>
      <w:pPr>
        <w:spacing w:line="360" w:lineRule="auto"/>
        <w:ind w:firstLine="480" w:firstLineChars="200"/>
        <w:rPr>
          <w:rFonts w:ascii="仿宋_GB2312" w:eastAsia="仿宋_GB2312"/>
          <w:color w:val="FF0000"/>
          <w:sz w:val="24"/>
        </w:rPr>
      </w:pPr>
    </w:p>
    <w:p>
      <w:pPr>
        <w:spacing w:line="360" w:lineRule="auto"/>
        <w:ind w:firstLine="480" w:firstLineChars="200"/>
        <w:rPr>
          <w:rFonts w:ascii="仿宋_GB2312" w:eastAsia="仿宋_GB2312"/>
          <w:color w:val="FF0000"/>
          <w:sz w:val="24"/>
        </w:rPr>
      </w:pPr>
    </w:p>
    <w:p>
      <w:pPr>
        <w:spacing w:line="360" w:lineRule="auto"/>
        <w:rPr>
          <w:rFonts w:ascii="仿宋_GB2312" w:eastAsia="仿宋_GB2312"/>
          <w:color w:val="FF0000"/>
          <w:sz w:val="24"/>
        </w:rPr>
      </w:pPr>
    </w:p>
    <w:p>
      <w:pPr>
        <w:spacing w:line="360" w:lineRule="auto"/>
        <w:rPr>
          <w:rFonts w:ascii="仿宋_GB2312" w:eastAsia="仿宋_GB2312"/>
          <w:color w:val="FF0000"/>
          <w:sz w:val="24"/>
        </w:rPr>
      </w:pPr>
    </w:p>
    <w:p>
      <w:pPr>
        <w:pStyle w:val="30"/>
        <w:numPr>
          <w:ilvl w:val="0"/>
          <w:numId w:val="2"/>
        </w:numPr>
        <w:spacing w:line="360" w:lineRule="auto"/>
        <w:ind w:firstLineChars="0"/>
        <w:outlineLvl w:val="1"/>
        <w:rPr>
          <w:rStyle w:val="32"/>
          <w:rFonts w:ascii="黑体" w:hAnsi="黑体" w:eastAsia="黑体"/>
          <w:b w:val="0"/>
          <w:sz w:val="32"/>
          <w:szCs w:val="32"/>
        </w:rPr>
      </w:pPr>
      <w:bookmarkStart w:id="28" w:name="_Toc15377207"/>
      <w:bookmarkStart w:id="29" w:name="_Toc15396605"/>
      <w:r>
        <w:rPr>
          <w:rFonts w:hint="eastAsia" w:ascii="黑体" w:hAnsi="黑体" w:eastAsia="黑体"/>
          <w:color w:val="000000"/>
          <w:sz w:val="32"/>
          <w:szCs w:val="32"/>
        </w:rPr>
        <w:t>支</w:t>
      </w:r>
      <w:r>
        <w:rPr>
          <w:rStyle w:val="32"/>
          <w:rFonts w:hint="eastAsia" w:ascii="黑体" w:hAnsi="黑体" w:eastAsia="黑体"/>
          <w:b w:val="0"/>
          <w:sz w:val="32"/>
          <w:szCs w:val="32"/>
        </w:rPr>
        <w:t>出决算情况说明</w:t>
      </w:r>
      <w:bookmarkEnd w:id="28"/>
      <w:bookmarkEnd w:id="29"/>
    </w:p>
    <w:p>
      <w:pPr>
        <w:spacing w:line="360" w:lineRule="auto"/>
        <w:ind w:firstLine="640" w:firstLineChars="200"/>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2019年本年支出合计437.7万元，其中：基本支出258.43万元，占59.05%；项目支出179.27万元，占40.96%。</w:t>
      </w:r>
    </w:p>
    <w:p>
      <w:pPr>
        <w:spacing w:line="360" w:lineRule="auto"/>
        <w:ind w:firstLine="562" w:firstLineChars="200"/>
        <w:jc w:val="center"/>
        <w:rPr>
          <w:rFonts w:hint="eastAsia"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支出决算结构图</w:t>
      </w:r>
    </w:p>
    <w:p>
      <w:pPr>
        <w:spacing w:line="360" w:lineRule="auto"/>
        <w:ind w:firstLine="420" w:firstLineChars="200"/>
        <w:jc w:val="center"/>
        <w:rPr>
          <w:rFonts w:ascii="仿宋" w:hAnsi="仿宋" w:eastAsia="仿宋"/>
          <w:color w:val="000000" w:themeColor="text1"/>
          <w:sz w:val="24"/>
        </w:rPr>
      </w:pPr>
      <w:r>
        <w:drawing>
          <wp:inline distT="0" distB="0" distL="114300" distR="114300">
            <wp:extent cx="3966210" cy="2245360"/>
            <wp:effectExtent l="0" t="0" r="11430"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3966210" cy="224536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Style w:val="32"/>
          <w:rFonts w:ascii="黑体" w:hAnsi="黑体" w:eastAsia="黑体"/>
          <w:b w:val="0"/>
          <w:sz w:val="32"/>
          <w:szCs w:val="32"/>
        </w:rPr>
      </w:pPr>
      <w:bookmarkStart w:id="30" w:name="_Toc15396606"/>
      <w:bookmarkStart w:id="31" w:name="_Toc15377208"/>
      <w:r>
        <w:rPr>
          <w:rFonts w:hint="eastAsia" w:ascii="黑体" w:hAnsi="黑体" w:eastAsia="黑体"/>
          <w:color w:val="000000"/>
          <w:sz w:val="32"/>
          <w:szCs w:val="32"/>
        </w:rPr>
        <w:t>四、财</w:t>
      </w:r>
      <w:r>
        <w:rPr>
          <w:rStyle w:val="32"/>
          <w:rFonts w:hint="eastAsia" w:ascii="黑体" w:hAnsi="黑体" w:eastAsia="黑体"/>
          <w:b w:val="0"/>
          <w:sz w:val="32"/>
          <w:szCs w:val="32"/>
        </w:rPr>
        <w:t>政拨款收入支出决算总体情况说明</w:t>
      </w:r>
      <w:bookmarkEnd w:id="30"/>
      <w:bookmarkEnd w:id="31"/>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2019年度收、支总计466.07万元、财政拨款支出总计437.7万元。与2018年相比，收入减少88万元、支出减少68万元，收入下降17.4%。支出下降15.54%。主要变动原因是严格控制经费开支。</w:t>
      </w:r>
    </w:p>
    <w:p>
      <w:pPr>
        <w:spacing w:line="360" w:lineRule="auto"/>
        <w:ind w:firstLine="480" w:firstLineChars="200"/>
        <w:jc w:val="center"/>
        <w:rPr>
          <w:rFonts w:hint="eastAsia" w:ascii="仿宋_GB2312" w:hAnsi="仿宋_GB2312" w:eastAsia="仿宋_GB2312" w:cs="仿宋_GB2312"/>
          <w:b/>
          <w:bCs/>
          <w:color w:val="000000" w:themeColor="text1"/>
          <w:sz w:val="28"/>
          <w:szCs w:val="28"/>
        </w:rPr>
      </w:pPr>
      <w:r>
        <w:rPr>
          <w:sz w:val="24"/>
        </w:rPr>
        <w:drawing>
          <wp:anchor distT="0" distB="0" distL="114300" distR="114300" simplePos="0" relativeHeight="251661312" behindDoc="1" locked="0" layoutInCell="1" allowOverlap="1">
            <wp:simplePos x="0" y="0"/>
            <wp:positionH relativeFrom="column">
              <wp:posOffset>1104900</wp:posOffset>
            </wp:positionH>
            <wp:positionV relativeFrom="paragraph">
              <wp:posOffset>360680</wp:posOffset>
            </wp:positionV>
            <wp:extent cx="3994785" cy="2122170"/>
            <wp:effectExtent l="0" t="0" r="13335" b="1143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3994785" cy="2122170"/>
                    </a:xfrm>
                    <a:prstGeom prst="rect">
                      <a:avLst/>
                    </a:prstGeom>
                    <a:noFill/>
                    <a:ln>
                      <a:noFill/>
                    </a:ln>
                  </pic:spPr>
                </pic:pic>
              </a:graphicData>
            </a:graphic>
          </wp:anchor>
        </w:drawing>
      </w:r>
      <w:r>
        <w:rPr>
          <w:rFonts w:hint="eastAsia" w:ascii="仿宋_GB2312" w:hAnsi="仿宋_GB2312" w:eastAsia="仿宋_GB2312" w:cs="仿宋_GB2312"/>
          <w:b/>
          <w:bCs/>
          <w:color w:val="000000" w:themeColor="text1"/>
          <w:sz w:val="28"/>
          <w:szCs w:val="28"/>
        </w:rPr>
        <w:t>财政拨款收、支决算总计变动情况</w:t>
      </w:r>
    </w:p>
    <w:p>
      <w:pPr>
        <w:spacing w:line="360" w:lineRule="auto"/>
        <w:ind w:firstLine="640"/>
        <w:rPr>
          <w:rFonts w:ascii="仿宋" w:hAnsi="仿宋" w:eastAsia="仿宋"/>
          <w:b/>
          <w:color w:val="00B050"/>
          <w:sz w:val="24"/>
        </w:rPr>
      </w:pPr>
    </w:p>
    <w:p>
      <w:pPr>
        <w:spacing w:line="360" w:lineRule="auto"/>
        <w:ind w:firstLine="640"/>
        <w:rPr>
          <w:rFonts w:ascii="仿宋" w:hAnsi="仿宋" w:eastAsia="仿宋"/>
          <w:b/>
          <w:color w:val="00B050"/>
          <w:sz w:val="24"/>
        </w:rPr>
      </w:pPr>
    </w:p>
    <w:p>
      <w:pPr>
        <w:spacing w:line="360" w:lineRule="auto"/>
        <w:ind w:firstLine="640"/>
        <w:rPr>
          <w:rFonts w:ascii="仿宋" w:hAnsi="仿宋" w:eastAsia="仿宋"/>
          <w:b/>
          <w:color w:val="00B050"/>
          <w:sz w:val="24"/>
        </w:rPr>
      </w:pPr>
    </w:p>
    <w:p>
      <w:pPr>
        <w:spacing w:line="360" w:lineRule="auto"/>
        <w:ind w:firstLine="640"/>
        <w:rPr>
          <w:rFonts w:ascii="仿宋" w:hAnsi="仿宋" w:eastAsia="仿宋"/>
          <w:b/>
          <w:color w:val="00B050"/>
          <w:sz w:val="24"/>
        </w:rPr>
      </w:pPr>
    </w:p>
    <w:p>
      <w:pPr>
        <w:spacing w:line="360" w:lineRule="auto"/>
        <w:ind w:firstLine="640"/>
        <w:rPr>
          <w:rFonts w:ascii="仿宋" w:hAnsi="仿宋" w:eastAsia="仿宋"/>
          <w:b/>
          <w:color w:val="00B050"/>
          <w:sz w:val="24"/>
        </w:rPr>
      </w:pPr>
    </w:p>
    <w:p>
      <w:pPr>
        <w:spacing w:line="360" w:lineRule="auto"/>
        <w:ind w:firstLine="640"/>
        <w:rPr>
          <w:rFonts w:ascii="仿宋" w:hAnsi="仿宋" w:eastAsia="仿宋"/>
          <w:b/>
          <w:color w:val="00B050"/>
          <w:sz w:val="24"/>
        </w:rPr>
      </w:pPr>
    </w:p>
    <w:p>
      <w:pPr>
        <w:spacing w:line="360" w:lineRule="auto"/>
        <w:ind w:firstLine="640" w:firstLineChars="200"/>
        <w:outlineLvl w:val="1"/>
        <w:rPr>
          <w:rStyle w:val="32"/>
          <w:rFonts w:hint="eastAsia" w:ascii="黑体" w:hAnsi="黑体" w:eastAsia="黑体" w:cs="黑体"/>
          <w:b w:val="0"/>
          <w:sz w:val="32"/>
          <w:szCs w:val="32"/>
        </w:rPr>
      </w:pPr>
      <w:bookmarkStart w:id="32" w:name="_Toc15377209"/>
      <w:bookmarkStart w:id="33" w:name="_Toc15396607"/>
      <w:r>
        <w:rPr>
          <w:rFonts w:hint="eastAsia" w:ascii="黑体" w:hAnsi="黑体" w:eastAsia="黑体" w:cs="黑体"/>
          <w:color w:val="000000"/>
          <w:sz w:val="32"/>
          <w:szCs w:val="32"/>
        </w:rPr>
        <w:t>五、</w:t>
      </w:r>
      <w:r>
        <w:rPr>
          <w:rFonts w:hint="eastAsia" w:ascii="黑体" w:hAnsi="黑体" w:eastAsia="黑体" w:cs="黑体"/>
          <w:b/>
          <w:color w:val="000000"/>
          <w:sz w:val="32"/>
          <w:szCs w:val="32"/>
        </w:rPr>
        <w:t>一</w:t>
      </w:r>
      <w:r>
        <w:rPr>
          <w:rStyle w:val="32"/>
          <w:rFonts w:hint="eastAsia" w:ascii="黑体" w:hAnsi="黑体" w:eastAsia="黑体" w:cs="黑体"/>
          <w:b w:val="0"/>
          <w:sz w:val="32"/>
          <w:szCs w:val="32"/>
        </w:rPr>
        <w:t>般公共预算财政拨款支出决算情况说明</w:t>
      </w:r>
      <w:bookmarkEnd w:id="32"/>
      <w:bookmarkEnd w:id="33"/>
    </w:p>
    <w:p>
      <w:pPr>
        <w:spacing w:line="360" w:lineRule="auto"/>
        <w:ind w:firstLine="640" w:firstLineChars="200"/>
        <w:outlineLvl w:val="2"/>
        <w:rPr>
          <w:rFonts w:hint="eastAsia" w:ascii="楷体_GB2312" w:hAnsi="楷体_GB2312" w:eastAsia="楷体_GB2312" w:cs="楷体_GB2312"/>
          <w:b w:val="0"/>
          <w:bCs/>
          <w:color w:val="000000"/>
          <w:sz w:val="32"/>
          <w:szCs w:val="32"/>
        </w:rPr>
      </w:pPr>
      <w:bookmarkStart w:id="34" w:name="_Toc15377210"/>
      <w:r>
        <w:rPr>
          <w:rFonts w:hint="eastAsia" w:ascii="楷体_GB2312" w:hAnsi="楷体_GB2312" w:eastAsia="楷体_GB2312" w:cs="楷体_GB2312"/>
          <w:b w:val="0"/>
          <w:bCs/>
          <w:color w:val="000000"/>
          <w:sz w:val="32"/>
          <w:szCs w:val="32"/>
        </w:rPr>
        <w:t>（一）一般公共预算财政拨款支出决算总体情况</w:t>
      </w:r>
      <w:bookmarkEnd w:id="34"/>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2019年一般公共预算财政拨款支出437.7万元，占本年支出合计的100%。与2018年相比，一般公共预算财政拨款减少68万元，下降13.45%。主要变动原因是缩减经费开支。</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562" w:firstLineChars="200"/>
        <w:jc w:val="center"/>
        <w:textAlignment w:val="auto"/>
        <w:rPr>
          <w:rFonts w:hint="eastAsia"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一般公共预算财政拨款支出决算变动情况</w:t>
      </w:r>
    </w:p>
    <w:p>
      <w:pPr>
        <w:spacing w:line="360" w:lineRule="auto"/>
        <w:ind w:firstLine="420" w:firstLineChars="200"/>
        <w:jc w:val="center"/>
        <w:rPr>
          <w:rFonts w:ascii="仿宋" w:hAnsi="仿宋" w:eastAsia="仿宋"/>
          <w:color w:val="000000" w:themeColor="text1"/>
          <w:sz w:val="24"/>
        </w:rPr>
      </w:pPr>
      <w:r>
        <w:drawing>
          <wp:inline distT="0" distB="0" distL="114300" distR="114300">
            <wp:extent cx="4273550" cy="2746375"/>
            <wp:effectExtent l="0" t="0" r="8890" b="1206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0"/>
                    <a:stretch>
                      <a:fillRect/>
                    </a:stretch>
                  </pic:blipFill>
                  <pic:spPr>
                    <a:xfrm>
                      <a:off x="0" y="0"/>
                      <a:ext cx="4273550" cy="2746375"/>
                    </a:xfrm>
                    <a:prstGeom prst="rect">
                      <a:avLst/>
                    </a:prstGeom>
                    <a:noFill/>
                    <a:ln>
                      <a:noFill/>
                    </a:ln>
                  </pic:spPr>
                </pic:pic>
              </a:graphicData>
            </a:graphic>
          </wp:inline>
        </w:drawing>
      </w:r>
    </w:p>
    <w:p>
      <w:pPr>
        <w:spacing w:line="360" w:lineRule="auto"/>
        <w:ind w:firstLine="640" w:firstLineChars="200"/>
        <w:outlineLvl w:val="2"/>
        <w:rPr>
          <w:rFonts w:hint="eastAsia" w:ascii="楷体_GB2312" w:hAnsi="楷体_GB2312" w:eastAsia="楷体_GB2312" w:cs="楷体_GB2312"/>
          <w:b w:val="0"/>
          <w:bCs/>
          <w:color w:val="000000"/>
          <w:sz w:val="32"/>
          <w:szCs w:val="32"/>
        </w:rPr>
      </w:pPr>
      <w:bookmarkStart w:id="35" w:name="_Toc15377211"/>
      <w:r>
        <w:rPr>
          <w:rFonts w:hint="eastAsia" w:ascii="楷体_GB2312" w:hAnsi="楷体_GB2312" w:eastAsia="楷体_GB2312" w:cs="楷体_GB2312"/>
          <w:b w:val="0"/>
          <w:bCs/>
          <w:color w:val="000000"/>
          <w:sz w:val="32"/>
          <w:szCs w:val="32"/>
        </w:rPr>
        <w:t>（二）一般公共预算财政拨款支出决算结构情况</w:t>
      </w:r>
      <w:bookmarkEnd w:id="35"/>
    </w:p>
    <w:p>
      <w:pPr>
        <w:spacing w:line="360" w:lineRule="auto"/>
        <w:ind w:firstLine="64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sz w:val="32"/>
          <w:szCs w:val="32"/>
        </w:rPr>
        <w:t>2019年一般公共预算财</w:t>
      </w:r>
      <w:r>
        <w:rPr>
          <w:rFonts w:hint="eastAsia" w:ascii="仿宋_GB2312" w:hAnsi="仿宋_GB2312" w:eastAsia="仿宋_GB2312" w:cs="仿宋_GB2312"/>
          <w:color w:val="000000" w:themeColor="text1"/>
          <w:sz w:val="32"/>
          <w:szCs w:val="32"/>
        </w:rPr>
        <w:t>政拨款支出437.79万元，主要用于以下方面:</w:t>
      </w:r>
      <w:r>
        <w:rPr>
          <w:rFonts w:hint="eastAsia" w:ascii="仿宋_GB2312" w:hAnsi="仿宋_GB2312" w:eastAsia="仿宋_GB2312" w:cs="仿宋_GB2312"/>
          <w:b/>
          <w:color w:val="000000" w:themeColor="text1"/>
          <w:sz w:val="32"/>
          <w:szCs w:val="32"/>
        </w:rPr>
        <w:t>一般公共服务（类）</w:t>
      </w:r>
      <w:r>
        <w:rPr>
          <w:rFonts w:hint="eastAsia" w:ascii="仿宋_GB2312" w:hAnsi="仿宋_GB2312" w:eastAsia="仿宋_GB2312" w:cs="仿宋_GB2312"/>
          <w:color w:val="000000" w:themeColor="text1"/>
          <w:sz w:val="32"/>
          <w:szCs w:val="32"/>
        </w:rPr>
        <w:t>支出338.14万元，占77.24%；</w:t>
      </w:r>
      <w:r>
        <w:rPr>
          <w:rFonts w:hint="eastAsia" w:ascii="仿宋_GB2312" w:hAnsi="仿宋_GB2312" w:eastAsia="仿宋_GB2312" w:cs="仿宋_GB2312"/>
          <w:b/>
          <w:bCs/>
          <w:color w:val="000000" w:themeColor="text1"/>
          <w:sz w:val="32"/>
          <w:szCs w:val="32"/>
        </w:rPr>
        <w:t>文化旅游体育与传媒（类）支出48.7万元，占11.13%</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b/>
          <w:color w:val="000000" w:themeColor="text1"/>
          <w:sz w:val="32"/>
          <w:szCs w:val="32"/>
        </w:rPr>
        <w:t>社会保障和就业（类）</w:t>
      </w:r>
      <w:r>
        <w:rPr>
          <w:rFonts w:hint="eastAsia" w:ascii="仿宋_GB2312" w:hAnsi="仿宋_GB2312" w:eastAsia="仿宋_GB2312" w:cs="仿宋_GB2312"/>
          <w:color w:val="000000" w:themeColor="text1"/>
          <w:sz w:val="32"/>
          <w:szCs w:val="32"/>
        </w:rPr>
        <w:t>支出19.14万元，占4.38%；</w:t>
      </w:r>
      <w:r>
        <w:rPr>
          <w:rFonts w:hint="eastAsia" w:ascii="仿宋_GB2312" w:hAnsi="仿宋_GB2312" w:eastAsia="仿宋_GB2312" w:cs="仿宋_GB2312"/>
          <w:b/>
          <w:bCs/>
          <w:color w:val="000000" w:themeColor="text1"/>
          <w:sz w:val="32"/>
          <w:szCs w:val="32"/>
        </w:rPr>
        <w:t>卫生健康支出</w:t>
      </w:r>
      <w:r>
        <w:rPr>
          <w:rFonts w:hint="eastAsia" w:ascii="仿宋_GB2312" w:hAnsi="仿宋_GB2312" w:eastAsia="仿宋_GB2312" w:cs="仿宋_GB2312"/>
          <w:color w:val="000000" w:themeColor="text1"/>
          <w:sz w:val="32"/>
          <w:szCs w:val="32"/>
        </w:rPr>
        <w:t>7.85万元，占2.03%；住房保障支出22.87万元，占5.23%</w:t>
      </w:r>
    </w:p>
    <w:p>
      <w:pPr>
        <w:spacing w:line="360" w:lineRule="auto"/>
        <w:ind w:firstLine="482" w:firstLineChars="200"/>
        <w:jc w:val="center"/>
        <w:rPr>
          <w:rFonts w:hint="eastAsia" w:ascii="仿宋" w:hAnsi="仿宋" w:eastAsia="仿宋"/>
          <w:b/>
          <w:bCs/>
          <w:color w:val="000000"/>
          <w:sz w:val="24"/>
        </w:rPr>
      </w:pPr>
    </w:p>
    <w:p>
      <w:pPr>
        <w:spacing w:line="360" w:lineRule="auto"/>
        <w:ind w:firstLine="562" w:firstLineChars="200"/>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一般公共预算财政拨款支出决算结构</w:t>
      </w:r>
    </w:p>
    <w:p>
      <w:pPr>
        <w:spacing w:line="360" w:lineRule="auto"/>
        <w:ind w:firstLine="420" w:firstLineChars="200"/>
        <w:jc w:val="center"/>
        <w:rPr>
          <w:rFonts w:ascii="仿宋" w:hAnsi="仿宋" w:eastAsia="仿宋"/>
          <w:color w:val="000000"/>
          <w:sz w:val="24"/>
        </w:rPr>
      </w:pPr>
      <w:r>
        <w:drawing>
          <wp:inline distT="0" distB="0" distL="114300" distR="114300">
            <wp:extent cx="3920490" cy="2358390"/>
            <wp:effectExtent l="0" t="0" r="11430" b="381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1"/>
                    <a:stretch>
                      <a:fillRect/>
                    </a:stretch>
                  </pic:blipFill>
                  <pic:spPr>
                    <a:xfrm>
                      <a:off x="0" y="0"/>
                      <a:ext cx="3920490" cy="2358390"/>
                    </a:xfrm>
                    <a:prstGeom prst="rect">
                      <a:avLst/>
                    </a:prstGeom>
                    <a:noFill/>
                    <a:ln>
                      <a:noFill/>
                    </a:ln>
                  </pic:spPr>
                </pic:pic>
              </a:graphicData>
            </a:graphic>
          </wp:inline>
        </w:drawing>
      </w:r>
    </w:p>
    <w:p>
      <w:pPr>
        <w:spacing w:line="360" w:lineRule="auto"/>
        <w:ind w:firstLine="480" w:firstLineChars="200"/>
        <w:rPr>
          <w:rFonts w:ascii="仿宋" w:hAnsi="仿宋" w:eastAsia="仿宋"/>
          <w:color w:val="000000"/>
          <w:sz w:val="24"/>
        </w:rPr>
      </w:pPr>
    </w:p>
    <w:p>
      <w:pPr>
        <w:spacing w:line="360" w:lineRule="auto"/>
        <w:ind w:firstLine="640" w:firstLineChars="200"/>
        <w:outlineLvl w:val="2"/>
        <w:rPr>
          <w:rFonts w:hint="eastAsia" w:ascii="楷体_GB2312" w:hAnsi="楷体_GB2312" w:eastAsia="楷体_GB2312" w:cs="楷体_GB2312"/>
          <w:b w:val="0"/>
          <w:bCs/>
          <w:color w:val="000000"/>
          <w:sz w:val="32"/>
          <w:szCs w:val="32"/>
        </w:rPr>
      </w:pPr>
      <w:bookmarkStart w:id="36" w:name="_Toc15377212"/>
      <w:r>
        <w:rPr>
          <w:rFonts w:hint="eastAsia" w:ascii="楷体_GB2312" w:hAnsi="楷体_GB2312" w:eastAsia="楷体_GB2312" w:cs="楷体_GB2312"/>
          <w:b w:val="0"/>
          <w:bCs/>
          <w:color w:val="000000"/>
          <w:sz w:val="32"/>
          <w:szCs w:val="32"/>
        </w:rPr>
        <w:t>（三）一般公共预算财政拨款支出决算具体情况</w:t>
      </w:r>
      <w:bookmarkEnd w:id="36"/>
    </w:p>
    <w:p>
      <w:pPr>
        <w:spacing w:line="360" w:lineRule="auto"/>
        <w:ind w:firstLine="643" w:firstLineChars="200"/>
        <w:outlineLvl w:val="2"/>
        <w:rPr>
          <w:rFonts w:hint="eastAsia" w:ascii="仿宋_GB2312" w:hAnsi="仿宋_GB2312" w:eastAsia="仿宋_GB2312" w:cs="仿宋_GB2312"/>
          <w:color w:val="FF0000"/>
          <w:sz w:val="32"/>
          <w:szCs w:val="32"/>
        </w:rPr>
      </w:pPr>
      <w:bookmarkStart w:id="37" w:name="_Toc15377213"/>
      <w:bookmarkStart w:id="38" w:name="_Toc15377444"/>
      <w:bookmarkStart w:id="39" w:name="_Toc15378460"/>
      <w:r>
        <w:rPr>
          <w:rFonts w:hint="eastAsia" w:ascii="仿宋_GB2312" w:hAnsi="仿宋_GB2312" w:eastAsia="仿宋_GB2312" w:cs="仿宋_GB2312"/>
          <w:b/>
          <w:color w:val="000000" w:themeColor="text1"/>
          <w:sz w:val="32"/>
          <w:szCs w:val="32"/>
        </w:rPr>
        <w:t>2019年一般公共预算支出决算数为437.7</w:t>
      </w:r>
      <w:r>
        <w:rPr>
          <w:rFonts w:hint="eastAsia" w:ascii="仿宋_GB2312" w:hAnsi="仿宋_GB2312" w:eastAsia="仿宋_GB2312" w:cs="仿宋_GB2312"/>
          <w:color w:val="000000" w:themeColor="text1"/>
          <w:sz w:val="32"/>
          <w:szCs w:val="32"/>
        </w:rPr>
        <w:t>，</w:t>
      </w:r>
      <w:r>
        <w:rPr>
          <w:rStyle w:val="20"/>
          <w:rFonts w:hint="eastAsia" w:ascii="仿宋_GB2312" w:hAnsi="仿宋_GB2312" w:eastAsia="仿宋_GB2312" w:cs="仿宋_GB2312"/>
          <w:bCs/>
          <w:color w:val="000000" w:themeColor="text1"/>
          <w:sz w:val="32"/>
          <w:szCs w:val="32"/>
        </w:rPr>
        <w:t>完成</w:t>
      </w:r>
      <w:r>
        <w:rPr>
          <w:rStyle w:val="20"/>
          <w:rFonts w:hint="eastAsia" w:ascii="仿宋_GB2312" w:hAnsi="仿宋_GB2312" w:eastAsia="仿宋_GB2312" w:cs="仿宋_GB2312"/>
          <w:bCs/>
          <w:color w:val="000000"/>
          <w:sz w:val="32"/>
          <w:szCs w:val="32"/>
        </w:rPr>
        <w:t>预算93.91%。其中：</w:t>
      </w:r>
      <w:bookmarkEnd w:id="37"/>
      <w:bookmarkEnd w:id="38"/>
      <w:bookmarkEnd w:id="39"/>
    </w:p>
    <w:p>
      <w:pPr>
        <w:spacing w:line="360" w:lineRule="auto"/>
        <w:ind w:firstLine="643" w:firstLineChars="200"/>
        <w:rPr>
          <w:rFonts w:hint="eastAsia" w:ascii="仿宋_GB2312" w:hAnsi="仿宋_GB2312" w:eastAsia="仿宋_GB2312" w:cs="仿宋_GB2312"/>
          <w:b/>
          <w:color w:val="000000"/>
          <w:sz w:val="32"/>
          <w:szCs w:val="32"/>
        </w:rPr>
      </w:pPr>
      <w:r>
        <w:rPr>
          <w:rStyle w:val="20"/>
          <w:rFonts w:hint="eastAsia" w:ascii="仿宋_GB2312" w:hAnsi="仿宋_GB2312" w:eastAsia="仿宋_GB2312" w:cs="仿宋_GB2312"/>
          <w:bCs/>
          <w:color w:val="000000"/>
          <w:sz w:val="32"/>
          <w:szCs w:val="32"/>
        </w:rPr>
        <w:t>1.一般公共服务（类）群众团体事务（款）行政运行（项）:</w:t>
      </w:r>
      <w:r>
        <w:rPr>
          <w:rStyle w:val="20"/>
          <w:rFonts w:hint="eastAsia" w:ascii="仿宋_GB2312" w:hAnsi="仿宋_GB2312" w:eastAsia="仿宋_GB2312" w:cs="仿宋_GB2312"/>
          <w:b w:val="0"/>
          <w:bCs/>
          <w:color w:val="000000"/>
          <w:sz w:val="32"/>
          <w:szCs w:val="32"/>
        </w:rPr>
        <w:t>支出决算为202.01万元，完成预算100%，决算数等于预算数的主要原因是严格按预算经费使用。</w:t>
      </w:r>
    </w:p>
    <w:p>
      <w:pPr>
        <w:spacing w:line="360" w:lineRule="auto"/>
        <w:ind w:firstLine="643" w:firstLineChars="200"/>
        <w:rPr>
          <w:rFonts w:hint="eastAsia" w:ascii="仿宋_GB2312" w:hAnsi="仿宋_GB2312" w:eastAsia="仿宋_GB2312" w:cs="仿宋_GB2312"/>
          <w:b/>
          <w:color w:val="000000"/>
          <w:sz w:val="32"/>
          <w:szCs w:val="32"/>
        </w:rPr>
      </w:pPr>
      <w:r>
        <w:rPr>
          <w:rStyle w:val="20"/>
          <w:rFonts w:hint="eastAsia" w:ascii="仿宋_GB2312" w:hAnsi="仿宋_GB2312" w:eastAsia="仿宋_GB2312" w:cs="仿宋_GB2312"/>
          <w:bCs/>
          <w:color w:val="000000"/>
          <w:sz w:val="32"/>
          <w:szCs w:val="32"/>
        </w:rPr>
        <w:t>2.一般公共服务（类）群众团体事务（款）一般行政管理事务（项）:</w:t>
      </w:r>
      <w:r>
        <w:rPr>
          <w:rStyle w:val="20"/>
          <w:rFonts w:hint="eastAsia" w:ascii="仿宋_GB2312" w:hAnsi="仿宋_GB2312" w:eastAsia="仿宋_GB2312" w:cs="仿宋_GB2312"/>
          <w:b w:val="0"/>
          <w:bCs/>
          <w:color w:val="000000"/>
          <w:sz w:val="32"/>
          <w:szCs w:val="32"/>
        </w:rPr>
        <w:t>支出决算为87.65万元，完成预算20.03%，决算数等于预算数的主要原因是严格按预算经费使用。</w:t>
      </w:r>
    </w:p>
    <w:p>
      <w:pPr>
        <w:spacing w:line="360" w:lineRule="auto"/>
        <w:ind w:firstLine="643" w:firstLineChars="200"/>
        <w:rPr>
          <w:rStyle w:val="20"/>
          <w:rFonts w:hint="eastAsia" w:ascii="仿宋_GB2312" w:hAnsi="仿宋_GB2312" w:eastAsia="仿宋_GB2312" w:cs="仿宋_GB2312"/>
          <w:b w:val="0"/>
          <w:bCs/>
          <w:color w:val="000000"/>
          <w:sz w:val="32"/>
          <w:szCs w:val="32"/>
        </w:rPr>
      </w:pPr>
      <w:r>
        <w:rPr>
          <w:rStyle w:val="20"/>
          <w:rFonts w:hint="eastAsia" w:ascii="仿宋_GB2312" w:hAnsi="仿宋_GB2312" w:eastAsia="仿宋_GB2312" w:cs="仿宋_GB2312"/>
          <w:bCs/>
          <w:color w:val="000000"/>
          <w:sz w:val="32"/>
          <w:szCs w:val="32"/>
        </w:rPr>
        <w:t>3.一般公共服务（类）群众团体事务（款）事业运行（项）:</w:t>
      </w:r>
      <w:r>
        <w:rPr>
          <w:rStyle w:val="20"/>
          <w:rFonts w:hint="eastAsia" w:ascii="仿宋_GB2312" w:hAnsi="仿宋_GB2312" w:eastAsia="仿宋_GB2312" w:cs="仿宋_GB2312"/>
          <w:b w:val="0"/>
          <w:bCs/>
          <w:color w:val="000000"/>
          <w:sz w:val="32"/>
          <w:szCs w:val="32"/>
        </w:rPr>
        <w:t>支出决算为14万元，完成预算3.2%，决算数等于预算数的主要原因是严格按预算经费使用。</w:t>
      </w:r>
    </w:p>
    <w:p>
      <w:pPr>
        <w:spacing w:line="360" w:lineRule="auto"/>
        <w:ind w:firstLine="643" w:firstLineChars="200"/>
        <w:rPr>
          <w:rStyle w:val="20"/>
          <w:rFonts w:hint="eastAsia" w:ascii="仿宋_GB2312" w:hAnsi="仿宋_GB2312" w:eastAsia="仿宋_GB2312" w:cs="仿宋_GB2312"/>
          <w:b w:val="0"/>
          <w:bCs/>
          <w:color w:val="000000"/>
          <w:sz w:val="32"/>
          <w:szCs w:val="32"/>
        </w:rPr>
      </w:pPr>
      <w:r>
        <w:rPr>
          <w:rStyle w:val="20"/>
          <w:rFonts w:hint="eastAsia" w:ascii="仿宋_GB2312" w:hAnsi="仿宋_GB2312" w:eastAsia="仿宋_GB2312" w:cs="仿宋_GB2312"/>
          <w:bCs/>
          <w:color w:val="000000"/>
          <w:sz w:val="32"/>
          <w:szCs w:val="32"/>
        </w:rPr>
        <w:t>4.一般公共服务（类）群众团体事务（款）其他群众团体事务支出（项）:</w:t>
      </w:r>
      <w:r>
        <w:rPr>
          <w:rStyle w:val="20"/>
          <w:rFonts w:hint="eastAsia" w:ascii="仿宋_GB2312" w:hAnsi="仿宋_GB2312" w:eastAsia="仿宋_GB2312" w:cs="仿宋_GB2312"/>
          <w:b w:val="0"/>
          <w:bCs/>
          <w:color w:val="000000"/>
          <w:sz w:val="32"/>
          <w:szCs w:val="32"/>
        </w:rPr>
        <w:t>支出决算为34.48万元，完成预算7.88%，决算数等于预算数的主要原因是严格按预算经费使用。</w:t>
      </w:r>
    </w:p>
    <w:p>
      <w:pPr>
        <w:spacing w:line="360" w:lineRule="auto"/>
        <w:ind w:firstLine="643" w:firstLineChars="200"/>
        <w:rPr>
          <w:rFonts w:hint="eastAsia" w:ascii="仿宋_GB2312" w:hAnsi="仿宋_GB2312" w:eastAsia="仿宋_GB2312" w:cs="仿宋_GB2312"/>
          <w:bCs/>
          <w:color w:val="000000"/>
          <w:sz w:val="32"/>
          <w:szCs w:val="32"/>
        </w:rPr>
      </w:pPr>
      <w:r>
        <w:rPr>
          <w:rStyle w:val="20"/>
          <w:rFonts w:hint="eastAsia" w:ascii="仿宋_GB2312" w:hAnsi="仿宋_GB2312" w:eastAsia="仿宋_GB2312" w:cs="仿宋_GB2312"/>
          <w:bCs/>
          <w:color w:val="000000"/>
          <w:sz w:val="32"/>
          <w:szCs w:val="32"/>
        </w:rPr>
        <w:t>5.文化旅游体育与传媒（类）文化和旅游（款）文化活动（项）:</w:t>
      </w:r>
      <w:r>
        <w:rPr>
          <w:rStyle w:val="20"/>
          <w:rFonts w:hint="eastAsia" w:ascii="仿宋_GB2312" w:hAnsi="仿宋_GB2312" w:eastAsia="仿宋_GB2312" w:cs="仿宋_GB2312"/>
          <w:b w:val="0"/>
          <w:bCs/>
          <w:color w:val="000000"/>
          <w:sz w:val="32"/>
          <w:szCs w:val="32"/>
        </w:rPr>
        <w:t>支出决算为48.7万元，完成预算11.13%，决算数等于预算数的主要原因是严格按预算经费使用。</w:t>
      </w:r>
    </w:p>
    <w:p>
      <w:pPr>
        <w:spacing w:line="360" w:lineRule="auto"/>
        <w:ind w:firstLine="643" w:firstLineChars="200"/>
        <w:rPr>
          <w:rStyle w:val="20"/>
          <w:rFonts w:hint="eastAsia" w:ascii="仿宋_GB2312" w:hAnsi="仿宋_GB2312" w:eastAsia="仿宋_GB2312" w:cs="仿宋_GB2312"/>
          <w:b w:val="0"/>
          <w:bCs/>
          <w:color w:val="000000"/>
          <w:sz w:val="32"/>
          <w:szCs w:val="32"/>
        </w:rPr>
      </w:pPr>
      <w:r>
        <w:rPr>
          <w:rStyle w:val="20"/>
          <w:rFonts w:hint="eastAsia" w:ascii="仿宋_GB2312" w:hAnsi="仿宋_GB2312" w:eastAsia="仿宋_GB2312" w:cs="仿宋_GB2312"/>
          <w:bCs/>
          <w:color w:val="000000"/>
          <w:sz w:val="32"/>
          <w:szCs w:val="32"/>
        </w:rPr>
        <w:t>6.社会保障和就业（类）行政单位离退休（款）机关单位基本养老保险支出（项）:</w:t>
      </w:r>
      <w:r>
        <w:rPr>
          <w:rStyle w:val="20"/>
          <w:rFonts w:hint="eastAsia" w:ascii="仿宋_GB2312" w:hAnsi="仿宋_GB2312" w:eastAsia="仿宋_GB2312" w:cs="仿宋_GB2312"/>
          <w:b w:val="0"/>
          <w:bCs/>
          <w:color w:val="000000"/>
          <w:sz w:val="32"/>
          <w:szCs w:val="32"/>
        </w:rPr>
        <w:t>支出决算为18.07万元，完成预算4.13%，决算数等于预算数的主要原因是严格按预算经费使用。</w:t>
      </w:r>
    </w:p>
    <w:p>
      <w:pPr>
        <w:spacing w:line="360" w:lineRule="auto"/>
        <w:ind w:firstLine="643" w:firstLineChars="200"/>
        <w:rPr>
          <w:rStyle w:val="20"/>
          <w:rFonts w:hint="eastAsia" w:ascii="仿宋_GB2312" w:hAnsi="仿宋_GB2312" w:eastAsia="仿宋_GB2312" w:cs="仿宋_GB2312"/>
          <w:b w:val="0"/>
          <w:bCs/>
          <w:color w:val="000000"/>
          <w:sz w:val="32"/>
          <w:szCs w:val="32"/>
        </w:rPr>
      </w:pPr>
      <w:r>
        <w:rPr>
          <w:rStyle w:val="20"/>
          <w:rFonts w:hint="eastAsia" w:ascii="仿宋_GB2312" w:hAnsi="仿宋_GB2312" w:eastAsia="仿宋_GB2312" w:cs="仿宋_GB2312"/>
          <w:bCs/>
          <w:color w:val="000000"/>
          <w:sz w:val="32"/>
          <w:szCs w:val="32"/>
        </w:rPr>
        <w:t>7.</w:t>
      </w:r>
      <w:r>
        <w:rPr>
          <w:rFonts w:hint="eastAsia" w:ascii="仿宋_GB2312" w:hAnsi="仿宋_GB2312" w:eastAsia="仿宋_GB2312" w:cs="仿宋_GB2312"/>
          <w:b/>
          <w:bCs/>
          <w:color w:val="000000" w:themeColor="text1"/>
          <w:sz w:val="32"/>
          <w:szCs w:val="32"/>
        </w:rPr>
        <w:t>卫生健康</w:t>
      </w:r>
      <w:r>
        <w:rPr>
          <w:rStyle w:val="20"/>
          <w:rFonts w:hint="eastAsia" w:ascii="仿宋_GB2312" w:hAnsi="仿宋_GB2312" w:eastAsia="仿宋_GB2312" w:cs="仿宋_GB2312"/>
          <w:bCs/>
          <w:color w:val="000000"/>
          <w:sz w:val="32"/>
          <w:szCs w:val="32"/>
        </w:rPr>
        <w:t>（类）行政事业单位医疗（款）行政单位医疗（项）:</w:t>
      </w:r>
      <w:r>
        <w:rPr>
          <w:rStyle w:val="20"/>
          <w:rFonts w:hint="eastAsia" w:ascii="仿宋_GB2312" w:hAnsi="仿宋_GB2312" w:eastAsia="仿宋_GB2312" w:cs="仿宋_GB2312"/>
          <w:b w:val="0"/>
          <w:bCs/>
          <w:color w:val="000000"/>
          <w:sz w:val="32"/>
          <w:szCs w:val="32"/>
        </w:rPr>
        <w:t>支出决算为8.85万元，完成预算2.03%，决算数等于预算数的主要原因是严格按预算经费使用。</w:t>
      </w:r>
    </w:p>
    <w:p>
      <w:pPr>
        <w:spacing w:line="360" w:lineRule="auto"/>
        <w:ind w:firstLine="640" w:firstLineChars="200"/>
        <w:outlineLvl w:val="1"/>
        <w:rPr>
          <w:rFonts w:hint="eastAsia" w:ascii="黑体" w:hAnsi="黑体" w:eastAsia="黑体" w:cs="黑体"/>
          <w:color w:val="000000"/>
          <w:sz w:val="32"/>
          <w:szCs w:val="32"/>
        </w:rPr>
      </w:pPr>
      <w:bookmarkStart w:id="40" w:name="_Toc15377214"/>
      <w:bookmarkStart w:id="41" w:name="_Toc15396608"/>
      <w:r>
        <w:rPr>
          <w:rFonts w:hint="eastAsia" w:ascii="黑体" w:hAnsi="黑体" w:eastAsia="黑体" w:cs="黑体"/>
          <w:color w:val="000000"/>
          <w:sz w:val="32"/>
          <w:szCs w:val="32"/>
        </w:rPr>
        <w:t>六、一般公共预算财政拨款基本支出决算情况说明</w:t>
      </w:r>
      <w:bookmarkEnd w:id="40"/>
      <w:bookmarkEnd w:id="41"/>
      <w:r>
        <w:rPr>
          <w:rFonts w:hint="eastAsia" w:ascii="黑体" w:hAnsi="黑体" w:eastAsia="黑体" w:cs="黑体"/>
          <w:color w:val="000000"/>
          <w:sz w:val="32"/>
          <w:szCs w:val="32"/>
        </w:rPr>
        <w:tab/>
      </w:r>
    </w:p>
    <w:p>
      <w:pPr>
        <w:spacing w:line="360" w:lineRule="auto"/>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2019年一般公共预算财政拨款基本支出258.43万元，其中：</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员经费212.18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日常公用经费46.25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360" w:lineRule="auto"/>
        <w:ind w:firstLine="640" w:firstLineChars="200"/>
        <w:outlineLvl w:val="1"/>
        <w:rPr>
          <w:rFonts w:hint="eastAsia" w:ascii="黑体" w:hAnsi="黑体" w:eastAsia="黑体" w:cs="黑体"/>
          <w:color w:val="000000"/>
          <w:sz w:val="32"/>
          <w:szCs w:val="32"/>
        </w:rPr>
      </w:pPr>
      <w:bookmarkStart w:id="42" w:name="_Toc15396609"/>
      <w:bookmarkStart w:id="43" w:name="_Toc15377215"/>
      <w:r>
        <w:rPr>
          <w:rFonts w:hint="eastAsia" w:ascii="黑体" w:hAnsi="黑体" w:eastAsia="黑体" w:cs="黑体"/>
          <w:color w:val="000000"/>
          <w:sz w:val="32"/>
          <w:szCs w:val="32"/>
        </w:rPr>
        <w:t>七、“三公”经费财政拨款支出决算情况说明</w:t>
      </w:r>
      <w:bookmarkEnd w:id="42"/>
      <w:bookmarkEnd w:id="43"/>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hint="eastAsia" w:ascii="楷体_GB2312" w:hAnsi="楷体_GB2312" w:eastAsia="楷体_GB2312" w:cs="楷体_GB2312"/>
          <w:b w:val="0"/>
          <w:bCs/>
          <w:color w:val="000000"/>
          <w:sz w:val="32"/>
          <w:szCs w:val="32"/>
        </w:rPr>
      </w:pPr>
      <w:bookmarkStart w:id="44" w:name="_Toc15377216"/>
      <w:r>
        <w:rPr>
          <w:rFonts w:hint="eastAsia" w:ascii="楷体_GB2312" w:hAnsi="楷体_GB2312" w:eastAsia="楷体_GB2312" w:cs="楷体_GB2312"/>
          <w:b w:val="0"/>
          <w:bCs/>
          <w:color w:val="000000"/>
          <w:sz w:val="32"/>
          <w:szCs w:val="32"/>
        </w:rPr>
        <w:t>（一）“三公”经费财政拨款支出决算总体情况说明</w:t>
      </w:r>
      <w:bookmarkEnd w:id="44"/>
    </w:p>
    <w:p>
      <w:pPr>
        <w:spacing w:line="360" w:lineRule="auto"/>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2019年“三公”经费财政拨款支出决算为6.33万元，完成</w:t>
      </w:r>
      <w:r>
        <w:rPr>
          <w:rFonts w:hint="eastAsia" w:ascii="仿宋_GB2312" w:hAnsi="仿宋_GB2312" w:eastAsia="仿宋_GB2312" w:cs="仿宋_GB2312"/>
          <w:color w:val="000000"/>
          <w:spacing w:val="-6"/>
          <w:sz w:val="32"/>
          <w:szCs w:val="32"/>
        </w:rPr>
        <w:t>预算89.16%，决算数小于预算数的主要原因是缩减三公经费支出。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hint="eastAsia" w:ascii="楷体_GB2312" w:hAnsi="楷体_GB2312" w:eastAsia="楷体_GB2312" w:cs="楷体_GB2312"/>
          <w:b w:val="0"/>
          <w:bCs/>
          <w:color w:val="000000"/>
          <w:sz w:val="32"/>
          <w:szCs w:val="32"/>
        </w:rPr>
      </w:pPr>
      <w:bookmarkStart w:id="45" w:name="_Toc15377217"/>
      <w:r>
        <w:rPr>
          <w:rFonts w:hint="eastAsia" w:ascii="楷体_GB2312" w:hAnsi="楷体_GB2312" w:eastAsia="楷体_GB2312" w:cs="楷体_GB2312"/>
          <w:b w:val="0"/>
          <w:bCs/>
          <w:color w:val="000000"/>
          <w:sz w:val="32"/>
          <w:szCs w:val="32"/>
        </w:rPr>
        <w:t>（二）“三公”经费财政拨款支出决算具体情况说明</w:t>
      </w:r>
      <w:bookmarkEnd w:id="45"/>
    </w:p>
    <w:p>
      <w:pPr>
        <w:spacing w:line="360" w:lineRule="auto"/>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2019年“三公”经费财政拨款支出决算中，因公出国（境）费支出决算0万元，占0%；公务用车购置及运行维护费支出决算4.85万元，占76.62%；公务接待费支出决算1.48万元，占23.38%。具体情况如下：</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641"/>
        <w:jc w:val="center"/>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“三公”经费财政拨款支出结构</w:t>
      </w:r>
    </w:p>
    <w:p>
      <w:pPr>
        <w:spacing w:line="360" w:lineRule="auto"/>
        <w:ind w:firstLine="640"/>
        <w:jc w:val="center"/>
        <w:rPr>
          <w:rFonts w:ascii="仿宋" w:hAnsi="仿宋" w:eastAsia="仿宋"/>
          <w:color w:val="000000"/>
          <w:sz w:val="24"/>
        </w:rPr>
      </w:pPr>
      <w:r>
        <w:drawing>
          <wp:inline distT="0" distB="0" distL="114300" distR="114300">
            <wp:extent cx="4177030" cy="1932940"/>
            <wp:effectExtent l="0" t="0" r="13970" b="254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2"/>
                    <a:stretch>
                      <a:fillRect/>
                    </a:stretch>
                  </pic:blipFill>
                  <pic:spPr>
                    <a:xfrm>
                      <a:off x="0" y="0"/>
                      <a:ext cx="4177030" cy="1932940"/>
                    </a:xfrm>
                    <a:prstGeom prst="rect">
                      <a:avLst/>
                    </a:prstGeom>
                    <a:noFill/>
                    <a:ln>
                      <a:noFill/>
                    </a:ln>
                  </pic:spPr>
                </pic:pic>
              </a:graphicData>
            </a:graphic>
          </wp:inline>
        </w:drawing>
      </w:r>
    </w:p>
    <w:p>
      <w:pPr>
        <w:spacing w:line="360" w:lineRule="auto"/>
        <w:rPr>
          <w:rFonts w:ascii="仿宋" w:hAnsi="仿宋" w:eastAsia="仿宋"/>
          <w:color w:val="000000"/>
          <w:sz w:val="24"/>
        </w:rPr>
      </w:pPr>
    </w:p>
    <w:p>
      <w:pPr>
        <w:spacing w:line="360" w:lineRule="auto"/>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1.因公出国（境）经费支出</w:t>
      </w:r>
      <w:r>
        <w:rPr>
          <w:rFonts w:hint="eastAsia" w:ascii="仿宋_GB2312" w:hAnsi="仿宋_GB2312" w:eastAsia="仿宋_GB2312" w:cs="仿宋_GB2312"/>
          <w:color w:val="000000"/>
          <w:sz w:val="32"/>
          <w:szCs w:val="32"/>
        </w:rPr>
        <w:t>0万元，</w:t>
      </w:r>
      <w:r>
        <w:rPr>
          <w:rStyle w:val="20"/>
          <w:rFonts w:hint="eastAsia" w:ascii="仿宋_GB2312" w:hAnsi="仿宋_GB2312" w:eastAsia="仿宋_GB2312" w:cs="仿宋_GB2312"/>
          <w:b w:val="0"/>
          <w:bCs/>
          <w:color w:val="000000"/>
          <w:sz w:val="32"/>
          <w:szCs w:val="32"/>
        </w:rPr>
        <w:t>完成预算0%。</w:t>
      </w:r>
      <w:r>
        <w:rPr>
          <w:rFonts w:hint="eastAsia" w:ascii="仿宋_GB2312" w:hAnsi="仿宋_GB2312" w:eastAsia="仿宋_GB2312" w:cs="仿宋_GB2312"/>
          <w:color w:val="000000"/>
          <w:sz w:val="32"/>
          <w:szCs w:val="32"/>
        </w:rPr>
        <w:t>全年安排因公出国（境）团组0次，出国（境）0人。因公出国（境）支出决算比2018年持平。</w:t>
      </w:r>
    </w:p>
    <w:p>
      <w:pPr>
        <w:spacing w:line="360" w:lineRule="auto"/>
        <w:ind w:firstLine="64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2.公务用车购置及运行维护费支出</w:t>
      </w:r>
      <w:r>
        <w:rPr>
          <w:rFonts w:hint="eastAsia" w:ascii="仿宋_GB2312" w:hAnsi="仿宋_GB2312" w:eastAsia="仿宋_GB2312" w:cs="仿宋_GB2312"/>
          <w:color w:val="000000"/>
          <w:sz w:val="32"/>
          <w:szCs w:val="32"/>
        </w:rPr>
        <w:t>4.85万元,</w:t>
      </w:r>
      <w:r>
        <w:rPr>
          <w:rStyle w:val="20"/>
          <w:rFonts w:hint="eastAsia" w:ascii="仿宋_GB2312" w:hAnsi="仿宋_GB2312" w:eastAsia="仿宋_GB2312" w:cs="仿宋_GB2312"/>
          <w:b w:val="0"/>
          <w:bCs/>
          <w:color w:val="000000"/>
          <w:sz w:val="32"/>
          <w:szCs w:val="32"/>
        </w:rPr>
        <w:t>完成预算76.62%。</w:t>
      </w:r>
      <w:r>
        <w:rPr>
          <w:rFonts w:hint="eastAsia" w:ascii="仿宋_GB2312" w:hAnsi="仿宋_GB2312" w:eastAsia="仿宋_GB2312" w:cs="仿宋_GB2312"/>
          <w:color w:val="000000"/>
          <w:sz w:val="32"/>
          <w:szCs w:val="32"/>
        </w:rPr>
        <w:t>公务用车购置及运行维护费支出决算比2018年少0.15万元，下降0.3%。主要原因是缩减公务用车购置及运行维护费支出</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其中：</w:t>
      </w:r>
      <w:r>
        <w:rPr>
          <w:rFonts w:hint="eastAsia" w:ascii="仿宋_GB2312" w:hAnsi="仿宋_GB2312" w:eastAsia="仿宋_GB2312" w:cs="仿宋_GB2312"/>
          <w:b/>
          <w:color w:val="000000"/>
          <w:sz w:val="32"/>
          <w:szCs w:val="32"/>
        </w:rPr>
        <w:t>公务用车购置支出</w:t>
      </w:r>
      <w:r>
        <w:rPr>
          <w:rFonts w:hint="eastAsia" w:ascii="仿宋_GB2312" w:hAnsi="仿宋_GB2312" w:eastAsia="仿宋_GB2312" w:cs="仿宋_GB2312"/>
          <w:color w:val="000000"/>
          <w:sz w:val="32"/>
          <w:szCs w:val="32"/>
        </w:rPr>
        <w:t>0万元。全年按规定更新购置公务用车0辆，金额0元。截至2019年12月底，单位共有公务用车0辆，其中：主要领导干部用车0辆、机要通信用车0辆、应急保障用车0辆、 执法执勤用车1辆。</w:t>
      </w:r>
    </w:p>
    <w:p>
      <w:pPr>
        <w:spacing w:line="360" w:lineRule="auto"/>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公务用车运行维护费支出</w:t>
      </w:r>
      <w:r>
        <w:rPr>
          <w:rFonts w:hint="eastAsia" w:ascii="仿宋_GB2312" w:hAnsi="仿宋_GB2312" w:eastAsia="仿宋_GB2312" w:cs="仿宋_GB2312"/>
          <w:color w:val="000000"/>
          <w:sz w:val="32"/>
          <w:szCs w:val="32"/>
        </w:rPr>
        <w:t>6.33万元。主要用于开展妇女儿童各项工作及扶贫工作等所需的公务用车燃料费、维修费、过路过桥费、保险费等支出。</w:t>
      </w:r>
    </w:p>
    <w:p>
      <w:pPr>
        <w:spacing w:line="360" w:lineRule="auto"/>
        <w:ind w:firstLine="64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3.公务接待费支出</w:t>
      </w:r>
      <w:r>
        <w:rPr>
          <w:rFonts w:hint="eastAsia" w:ascii="仿宋_GB2312" w:hAnsi="仿宋_GB2312" w:eastAsia="仿宋_GB2312" w:cs="仿宋_GB2312"/>
          <w:color w:val="000000"/>
          <w:sz w:val="32"/>
          <w:szCs w:val="32"/>
        </w:rPr>
        <w:t>1.48万元，</w:t>
      </w:r>
      <w:r>
        <w:rPr>
          <w:rStyle w:val="20"/>
          <w:rFonts w:hint="eastAsia" w:ascii="仿宋_GB2312" w:hAnsi="仿宋_GB2312" w:eastAsia="仿宋_GB2312" w:cs="仿宋_GB2312"/>
          <w:b w:val="0"/>
          <w:bCs/>
          <w:color w:val="000000"/>
          <w:sz w:val="32"/>
          <w:szCs w:val="32"/>
        </w:rPr>
        <w:t>完成预算70.48%。</w:t>
      </w:r>
      <w:r>
        <w:rPr>
          <w:rFonts w:hint="eastAsia" w:ascii="仿宋_GB2312" w:hAnsi="仿宋_GB2312" w:eastAsia="仿宋_GB2312" w:cs="仿宋_GB2312"/>
          <w:color w:val="000000"/>
          <w:sz w:val="32"/>
          <w:szCs w:val="32"/>
        </w:rPr>
        <w:t>公务接待费支出决算比2018年减少0.62万元，下降41.9%。主要原因是缩减公务用车购置及运行维护费支出</w:t>
      </w:r>
    </w:p>
    <w:p>
      <w:pPr>
        <w:spacing w:line="360" w:lineRule="auto"/>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国内公务接待支出</w:t>
      </w:r>
      <w:r>
        <w:rPr>
          <w:rFonts w:hint="eastAsia" w:ascii="仿宋_GB2312" w:hAnsi="仿宋_GB2312" w:eastAsia="仿宋_GB2312" w:cs="仿宋_GB2312"/>
          <w:color w:val="000000"/>
          <w:sz w:val="32"/>
          <w:szCs w:val="32"/>
        </w:rPr>
        <w:t>0万元，主要用于执行公务、开展业务活动开支的交通费、住宿费、用餐费等。国内公务接待16批次，148人次（不包括陪同人员），共计支出1.48万元。</w:t>
      </w:r>
    </w:p>
    <w:p>
      <w:pPr>
        <w:spacing w:line="360" w:lineRule="auto"/>
        <w:ind w:firstLine="643"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sz w:val="32"/>
          <w:szCs w:val="32"/>
        </w:rPr>
        <w:t>外事接待支出</w:t>
      </w:r>
      <w:r>
        <w:rPr>
          <w:rFonts w:hint="eastAsia" w:ascii="仿宋_GB2312" w:hAnsi="仿宋_GB2312" w:eastAsia="仿宋_GB2312" w:cs="仿宋_GB2312"/>
          <w:color w:val="000000"/>
          <w:sz w:val="32"/>
          <w:szCs w:val="32"/>
        </w:rPr>
        <w:t>0万元</w:t>
      </w:r>
      <w:r>
        <w:rPr>
          <w:rFonts w:hint="eastAsia" w:ascii="仿宋_GB2312" w:hAnsi="仿宋_GB2312" w:eastAsia="仿宋_GB2312" w:cs="仿宋_GB2312"/>
          <w:color w:val="000000" w:themeColor="text1"/>
          <w:sz w:val="32"/>
          <w:szCs w:val="32"/>
        </w:rPr>
        <w:t>，外事接待0批次，0人，共计支出0万元,。</w:t>
      </w:r>
      <w:bookmarkStart w:id="46" w:name="_Toc15377218"/>
      <w:bookmarkStart w:id="47" w:name="_Toc15396610"/>
    </w:p>
    <w:p>
      <w:pPr>
        <w:spacing w:line="360" w:lineRule="auto"/>
        <w:ind w:firstLine="640" w:firstLineChars="200"/>
        <w:outlineLvl w:val="1"/>
        <w:rPr>
          <w:rFonts w:hint="eastAsia" w:ascii="黑体" w:hAnsi="黑体" w:eastAsia="黑体" w:cs="黑体"/>
          <w:color w:val="000000"/>
          <w:sz w:val="32"/>
          <w:szCs w:val="32"/>
        </w:rPr>
      </w:pPr>
      <w:r>
        <w:rPr>
          <w:rFonts w:hint="eastAsia" w:ascii="黑体" w:hAnsi="黑体" w:eastAsia="黑体" w:cs="黑体"/>
          <w:color w:val="000000"/>
          <w:sz w:val="32"/>
          <w:szCs w:val="32"/>
        </w:rPr>
        <w:t>八、政府性基金预算支出决算情况说明</w:t>
      </w:r>
      <w:bookmarkEnd w:id="46"/>
      <w:bookmarkEnd w:id="47"/>
    </w:p>
    <w:p>
      <w:pPr>
        <w:spacing w:line="360" w:lineRule="auto"/>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2019年政府性基金预算拨款支出0万元。</w:t>
      </w:r>
    </w:p>
    <w:p>
      <w:pPr>
        <w:spacing w:line="360" w:lineRule="auto"/>
        <w:ind w:firstLine="640" w:firstLineChars="200"/>
        <w:outlineLvl w:val="1"/>
        <w:rPr>
          <w:rFonts w:hint="eastAsia" w:ascii="黑体" w:hAnsi="黑体" w:eastAsia="黑体" w:cs="黑体"/>
          <w:color w:val="000000"/>
          <w:sz w:val="32"/>
          <w:szCs w:val="32"/>
        </w:rPr>
      </w:pPr>
      <w:bookmarkStart w:id="48" w:name="_Toc15396611"/>
      <w:bookmarkStart w:id="49" w:name="_Toc15377219"/>
      <w:r>
        <w:rPr>
          <w:rFonts w:hint="eastAsia" w:ascii="黑体" w:hAnsi="黑体" w:eastAsia="黑体" w:cs="黑体"/>
          <w:color w:val="000000"/>
          <w:sz w:val="32"/>
          <w:szCs w:val="32"/>
          <w:lang w:eastAsia="zh-CN"/>
        </w:rPr>
        <w:t>九、</w:t>
      </w:r>
      <w:r>
        <w:rPr>
          <w:rFonts w:hint="eastAsia" w:ascii="黑体" w:hAnsi="黑体" w:eastAsia="黑体" w:cs="黑体"/>
          <w:color w:val="000000"/>
          <w:sz w:val="32"/>
          <w:szCs w:val="32"/>
        </w:rPr>
        <w:t>国有资本经营预算支出决算情况说明</w:t>
      </w:r>
      <w:bookmarkEnd w:id="48"/>
      <w:bookmarkEnd w:id="49"/>
    </w:p>
    <w:p>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2019年国有资本经营预算拨款支出0万元。</w:t>
      </w:r>
    </w:p>
    <w:p>
      <w:pPr>
        <w:spacing w:line="360" w:lineRule="auto"/>
        <w:ind w:firstLine="640" w:firstLineChars="200"/>
        <w:outlineLvl w:val="1"/>
        <w:rPr>
          <w:rFonts w:hint="eastAsia" w:ascii="黑体" w:hAnsi="黑体" w:eastAsia="黑体" w:cs="黑体"/>
          <w:color w:val="000000"/>
          <w:sz w:val="32"/>
          <w:szCs w:val="32"/>
        </w:rPr>
      </w:pPr>
      <w:bookmarkStart w:id="50" w:name="_Toc15377221"/>
      <w:bookmarkStart w:id="51" w:name="_Toc15396612"/>
      <w:r>
        <w:rPr>
          <w:rFonts w:hint="eastAsia" w:ascii="黑体" w:hAnsi="黑体" w:eastAsia="黑体" w:cs="黑体"/>
          <w:color w:val="000000"/>
          <w:sz w:val="32"/>
          <w:szCs w:val="32"/>
        </w:rPr>
        <w:t>十、其他重要事项的情况说明</w:t>
      </w:r>
      <w:bookmarkEnd w:id="50"/>
      <w:bookmarkEnd w:id="51"/>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hint="eastAsia" w:ascii="楷体_GB2312" w:hAnsi="楷体_GB2312" w:eastAsia="楷体_GB2312" w:cs="楷体_GB2312"/>
          <w:b w:val="0"/>
          <w:bCs/>
          <w:color w:val="000000"/>
          <w:sz w:val="32"/>
          <w:szCs w:val="32"/>
        </w:rPr>
      </w:pPr>
      <w:bookmarkStart w:id="52" w:name="_Toc15377222"/>
      <w:r>
        <w:rPr>
          <w:rFonts w:hint="eastAsia" w:ascii="楷体_GB2312" w:hAnsi="楷体_GB2312" w:eastAsia="楷体_GB2312" w:cs="楷体_GB2312"/>
          <w:b w:val="0"/>
          <w:bCs/>
          <w:color w:val="000000"/>
          <w:sz w:val="32"/>
          <w:szCs w:val="32"/>
        </w:rPr>
        <w:t>（一）机关运行经费支出情况</w:t>
      </w:r>
      <w:bookmarkEnd w:id="52"/>
    </w:p>
    <w:p>
      <w:pPr>
        <w:spacing w:line="360" w:lineRule="auto"/>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sz w:val="32"/>
          <w:szCs w:val="32"/>
        </w:rPr>
        <w:t>2019年，机关运行经费支出46.25万元。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hint="eastAsia" w:ascii="楷体_GB2312" w:hAnsi="楷体_GB2312" w:eastAsia="楷体_GB2312" w:cs="楷体_GB2312"/>
          <w:b w:val="0"/>
          <w:bCs/>
          <w:color w:val="000000"/>
          <w:sz w:val="32"/>
          <w:szCs w:val="32"/>
        </w:rPr>
      </w:pPr>
      <w:bookmarkStart w:id="53" w:name="_Toc15377223"/>
      <w:r>
        <w:rPr>
          <w:rFonts w:hint="eastAsia" w:ascii="楷体_GB2312" w:hAnsi="楷体_GB2312" w:eastAsia="楷体_GB2312" w:cs="楷体_GB2312"/>
          <w:b w:val="0"/>
          <w:bCs/>
          <w:color w:val="000000"/>
          <w:sz w:val="32"/>
          <w:szCs w:val="32"/>
        </w:rPr>
        <w:t>（二）政府采购支出情况</w:t>
      </w:r>
      <w:bookmarkEnd w:id="53"/>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妇联政府采购支出总额0.98万元，其中：政府采购货物支出0.98万元、政府采购工程支出0万元、政府采购服务支出0万元。授予中小企业合同金额0.98万元，占政府采购支出总额的0%，其中：授予小微企业合同金额0.98万元，占政府采购支出总额的100%。</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hint="eastAsia" w:ascii="楷体_GB2312" w:hAnsi="楷体_GB2312" w:eastAsia="楷体_GB2312" w:cs="楷体_GB2312"/>
          <w:b w:val="0"/>
          <w:bCs/>
          <w:color w:val="000000"/>
          <w:sz w:val="32"/>
          <w:szCs w:val="32"/>
        </w:rPr>
      </w:pPr>
      <w:bookmarkStart w:id="54" w:name="_Toc15377224"/>
      <w:r>
        <w:rPr>
          <w:rFonts w:hint="eastAsia" w:ascii="楷体_GB2312" w:hAnsi="楷体_GB2312" w:eastAsia="楷体_GB2312" w:cs="楷体_GB2312"/>
          <w:b w:val="0"/>
          <w:bCs/>
          <w:color w:val="000000"/>
          <w:sz w:val="32"/>
          <w:szCs w:val="32"/>
        </w:rPr>
        <w:t>（三）国有资产占有使用情况</w:t>
      </w:r>
      <w:bookmarkEnd w:id="54"/>
    </w:p>
    <w:p>
      <w:pPr>
        <w:autoSpaceDE w:val="0"/>
        <w:autoSpaceDN w:val="0"/>
        <w:adjustRightInd w:val="0"/>
        <w:spacing w:line="360" w:lineRule="auto"/>
        <w:ind w:firstLine="640"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color w:val="000000"/>
          <w:sz w:val="32"/>
          <w:szCs w:val="32"/>
        </w:rPr>
        <w:t>截至2019年12月31日，妇联共有车辆1辆，其中：主要领导干部用车0辆、机要通信用车0辆、应急保障用车0辆、其他用车1辆；</w:t>
      </w:r>
      <w:r>
        <w:rPr>
          <w:rFonts w:hint="eastAsia" w:ascii="仿宋_GB2312" w:hAnsi="仿宋_GB2312" w:eastAsia="仿宋_GB2312" w:cs="仿宋_GB2312"/>
          <w:color w:val="000000" w:themeColor="text1"/>
          <w:sz w:val="32"/>
          <w:szCs w:val="32"/>
        </w:rPr>
        <w:t>单价50万元以上通用设备0台（套），单价100</w:t>
      </w:r>
      <w:r>
        <w:rPr>
          <w:rFonts w:hint="eastAsia" w:ascii="仿宋_GB2312" w:hAnsi="仿宋_GB2312" w:eastAsia="仿宋_GB2312" w:cs="仿宋_GB2312"/>
          <w:color w:val="000000"/>
          <w:sz w:val="32"/>
          <w:szCs w:val="32"/>
        </w:rPr>
        <w:t>万元以上专用设备0台（套）。</w:t>
      </w:r>
    </w:p>
    <w:p>
      <w:pPr>
        <w:autoSpaceDE w:val="0"/>
        <w:autoSpaceDN w:val="0"/>
        <w:adjustRightInd w:val="0"/>
        <w:spacing w:line="360" w:lineRule="auto"/>
        <w:ind w:firstLine="640" w:firstLineChars="200"/>
        <w:jc w:val="left"/>
        <w:outlineLvl w:val="2"/>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（四）预算绩效管理情况。</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根据预算绩效管理要求，本部门（单位）在年初预算编制阶段，组织对2个项目编制了绩效目标，预算执行过程中，选取2个项目开展绩效监控，年终执行完毕后，对2个项目开展了绩效目标完成情况自评。</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我会在市委市政府的正确领导下，上上级妇联的精心指导下，紧紧围绕全市重大发展，本着党政所急、妇女所需、妇联所能的原则，抓住妇女发展和妇女维权两大主线，全面实施妇女、儿童发展规划，全面动员妇女发展到我市发展规划总去。本部门还自行组织了2个项目支出绩效评价.</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1.项目绩效目标完成情况。</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sz w:val="32"/>
          <w:szCs w:val="32"/>
        </w:rPr>
        <w:t xml:space="preserve">    本部门在2019年度部门决算中反映“女干部及家政培训”“妇联业务工作”“社会组织联盟项目”“巾帼心向党和两纲项目”等8个项目绩效目标实际完成情况。（本单位部门项目绩效目标个数在5个以上的，选取5个项目进行公开，目标个数在5个以下的，全部进行公开，公开内容包括选取的全部项目完成情况综述和完成情况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（1）社会组织联盟项目绩效目标完成情况综述。项目全年预算数10.4万元，执行数为10.4万元，完成预算的100%。通过项目实施，</w:t>
      </w:r>
      <w:r>
        <w:rPr>
          <w:rFonts w:hint="eastAsia" w:ascii="仿宋_GB2312" w:hAnsi="仿宋_GB2312" w:eastAsia="仿宋_GB2312" w:cs="仿宋_GB2312"/>
          <w:color w:val="191919"/>
          <w:sz w:val="32"/>
          <w:szCs w:val="32"/>
          <w:shd w:val="clear" w:color="auto" w:fill="FFFFFF"/>
        </w:rPr>
        <w:t>进</w:t>
      </w:r>
      <w:r>
        <w:rPr>
          <w:rFonts w:hint="eastAsia" w:ascii="仿宋_GB2312" w:hAnsi="仿宋_GB2312" w:eastAsia="仿宋_GB2312" w:cs="仿宋_GB2312"/>
          <w:sz w:val="32"/>
          <w:szCs w:val="32"/>
        </w:rPr>
        <w:t>一步引导和服务女性社会组织，团结凝聚女性社会组织为广大妇女儿童和家庭服务，同时吸引力更多妇女投身事业发展，为我市发展增砖添瓦。发现的主要问题：随着时代的进步和公民社会的发展,各种妇女草根组织蓬勃兴起,妇联也面临着空间被挤压,资源被竞争,地位被质疑的困境，下一步改进措施：社团组织通过自律,志愿服务等方式实现社会自治机制,在增进妇女福利,促进社会公平方面具有独特优势,也不断增进公共利益和推动制度创新</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妇联业务工作经费项目绩效目标完成情况综述。项目全年预算数71.91万元，执行数为71.91万元，完成预算的100%。通过项目实施，保障健全妇女事业发展专项经费管理制度，严格执行相关管理制度，相关资料齐全并及时归档。发现的主要问题：支出科目设置不够细化，不能完整反映专项资金使用情况。下一步改进措施：规范账务处理，提高财务信息质量。严格按照《会计法》、《行政单位会计制度》、《行政单位财务规则》等规定，结合实际情况，科学设置支出科目，规范财务核算，完整反映相关信息</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巾帼心向党和两纲项目项目绩效目标完成情况综述。项目全年预算数20万元，执行数为20万元，完成预算的100%。通过项目实施巾帼心向党活动，充分利用妇联媒体，引导妇女和家庭学党史，知党恩，念党情了。发现的主要问题是宣传力度仍然不够。下一步改进措施加大宣传力度让更多人的妇女及家庭参与巾帼心向党活动</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女儿节活动筹办项目项目绩效目标完成情况综述。项目全年预算数48.7万元，执行数为48.7万元，完成预算的100%。通过实施女儿节活动，展示女性风采、传承历史情怀的重要载体，彰显厚重文化、时代精神的重要窗口，促进开放合作、实现共建共享的重要平台。穿越历史长河，广元女儿节历久弥新，以其独特的地域文化和丰富的表现形式，成为广元城市一张靓丽的文化名片。</w:t>
      </w:r>
    </w:p>
    <w:tbl>
      <w:tblPr>
        <w:tblStyle w:val="18"/>
        <w:tblpPr w:leftFromText="180" w:rightFromText="180" w:vertAnchor="text" w:horzAnchor="page" w:tblpXSpec="center" w:tblpY="423"/>
        <w:tblOverlap w:val="never"/>
        <w:tblW w:w="10062" w:type="dxa"/>
        <w:jc w:val="center"/>
        <w:tblLayout w:type="fixed"/>
        <w:tblCellMar>
          <w:top w:w="0" w:type="dxa"/>
          <w:left w:w="0" w:type="dxa"/>
          <w:bottom w:w="0" w:type="dxa"/>
          <w:right w:w="0" w:type="dxa"/>
        </w:tblCellMar>
      </w:tblPr>
      <w:tblGrid>
        <w:gridCol w:w="1276"/>
        <w:gridCol w:w="1059"/>
        <w:gridCol w:w="1155"/>
        <w:gridCol w:w="2196"/>
        <w:gridCol w:w="1725"/>
        <w:gridCol w:w="2651"/>
      </w:tblGrid>
      <w:tr>
        <w:tblPrEx>
          <w:tblCellMar>
            <w:top w:w="0" w:type="dxa"/>
            <w:left w:w="0" w:type="dxa"/>
            <w:bottom w:w="0" w:type="dxa"/>
            <w:right w:w="0" w:type="dxa"/>
          </w:tblCellMar>
        </w:tblPrEx>
        <w:trPr>
          <w:trHeight w:val="1034" w:hRule="atLeast"/>
          <w:jc w:val="center"/>
        </w:trPr>
        <w:tc>
          <w:tcPr>
            <w:tcW w:w="10062" w:type="dxa"/>
            <w:gridSpan w:val="6"/>
            <w:tcBorders>
              <w:top w:val="nil"/>
              <w:left w:val="nil"/>
              <w:bottom w:val="nil"/>
              <w:right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color w:val="auto"/>
                <w:kern w:val="0"/>
                <w:sz w:val="44"/>
                <w:szCs w:val="44"/>
              </w:rPr>
            </w:pP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color w:val="auto"/>
                <w:kern w:val="0"/>
                <w:sz w:val="44"/>
                <w:szCs w:val="44"/>
              </w:rPr>
            </w:pP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color w:val="auto"/>
                <w:kern w:val="0"/>
                <w:sz w:val="44"/>
                <w:szCs w:val="44"/>
              </w:rPr>
            </w:pP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color w:val="auto"/>
                <w:kern w:val="0"/>
                <w:sz w:val="44"/>
                <w:szCs w:val="44"/>
              </w:rPr>
            </w:pP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color w:val="auto"/>
                <w:kern w:val="0"/>
                <w:sz w:val="44"/>
                <w:szCs w:val="44"/>
              </w:rPr>
            </w:pP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color w:val="auto"/>
                <w:kern w:val="0"/>
                <w:sz w:val="44"/>
                <w:szCs w:val="44"/>
              </w:rPr>
            </w:pP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color w:val="auto"/>
                <w:kern w:val="0"/>
                <w:sz w:val="44"/>
                <w:szCs w:val="44"/>
              </w:rPr>
            </w:pP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color w:val="auto"/>
                <w:kern w:val="0"/>
                <w:sz w:val="44"/>
                <w:szCs w:val="44"/>
              </w:rPr>
            </w:pP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color w:val="auto"/>
                <w:kern w:val="0"/>
                <w:sz w:val="44"/>
                <w:szCs w:val="44"/>
              </w:rPr>
            </w:pP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color w:val="auto"/>
                <w:kern w:val="0"/>
                <w:sz w:val="44"/>
                <w:szCs w:val="44"/>
              </w:rPr>
            </w:pP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color w:val="auto"/>
                <w:kern w:val="0"/>
                <w:sz w:val="44"/>
                <w:szCs w:val="44"/>
              </w:rPr>
            </w:pP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color w:val="auto"/>
                <w:kern w:val="0"/>
                <w:sz w:val="44"/>
                <w:szCs w:val="44"/>
              </w:rPr>
            </w:pP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color w:val="auto"/>
                <w:kern w:val="0"/>
                <w:sz w:val="44"/>
                <w:szCs w:val="44"/>
              </w:rPr>
            </w:pP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color w:val="auto"/>
                <w:kern w:val="0"/>
                <w:sz w:val="44"/>
                <w:szCs w:val="44"/>
              </w:rPr>
            </w:pP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color w:val="auto"/>
                <w:kern w:val="0"/>
                <w:sz w:val="44"/>
                <w:szCs w:val="44"/>
              </w:rPr>
            </w:pP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宋体"/>
                <w:color w:val="0000FF"/>
                <w:sz w:val="24"/>
              </w:rPr>
            </w:pPr>
            <w:r>
              <w:rPr>
                <w:rFonts w:hint="eastAsia" w:ascii="方正小标宋简体" w:hAnsi="方正小标宋简体" w:eastAsia="方正小标宋简体" w:cs="方正小标宋简体"/>
                <w:b w:val="0"/>
                <w:bCs w:val="0"/>
                <w:color w:val="auto"/>
                <w:kern w:val="0"/>
                <w:sz w:val="44"/>
                <w:szCs w:val="44"/>
              </w:rPr>
              <w:t>项目绩效目标完成情况表</w:t>
            </w:r>
            <w:r>
              <w:rPr>
                <w:rFonts w:hint="eastAsia" w:ascii="方正小标宋简体" w:hAnsi="方正小标宋简体" w:eastAsia="方正小标宋简体" w:cs="方正小标宋简体"/>
                <w:b w:val="0"/>
                <w:bCs w:val="0"/>
                <w:color w:val="auto"/>
                <w:kern w:val="0"/>
                <w:sz w:val="44"/>
                <w:szCs w:val="44"/>
              </w:rPr>
              <w:br w:type="textWrapping"/>
            </w:r>
            <w:r>
              <w:rPr>
                <w:rFonts w:hint="eastAsia" w:ascii="楷体_GB2312" w:hAnsi="楷体_GB2312" w:eastAsia="楷体_GB2312" w:cs="楷体_GB2312"/>
                <w:color w:val="auto"/>
                <w:kern w:val="0"/>
                <w:sz w:val="28"/>
                <w:szCs w:val="28"/>
              </w:rPr>
              <w:t>(2019 年度)</w:t>
            </w:r>
          </w:p>
        </w:tc>
      </w:tr>
      <w:tr>
        <w:tblPrEx>
          <w:tblCellMar>
            <w:top w:w="0" w:type="dxa"/>
            <w:left w:w="0" w:type="dxa"/>
            <w:bottom w:w="0" w:type="dxa"/>
            <w:right w:w="0" w:type="dxa"/>
          </w:tblCellMar>
        </w:tblPrEx>
        <w:trPr>
          <w:trHeight w:val="20" w:hRule="atLeast"/>
          <w:jc w:val="center"/>
        </w:trPr>
        <w:tc>
          <w:tcPr>
            <w:tcW w:w="349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b/>
                <w:bCs/>
                <w:color w:val="000000"/>
                <w:kern w:val="0"/>
                <w:sz w:val="22"/>
                <w:szCs w:val="22"/>
              </w:rPr>
              <w:t>项目名称</w:t>
            </w:r>
          </w:p>
        </w:tc>
        <w:tc>
          <w:tcPr>
            <w:tcW w:w="657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女干部及家政培训、社会组织联盟项目、巾帼心向党、</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两纲项目</w:t>
            </w:r>
            <w:r>
              <w:rPr>
                <w:rFonts w:hint="eastAsia" w:asciiTheme="minorEastAsia" w:hAnsiTheme="minorEastAsia" w:eastAsiaTheme="minorEastAsia" w:cstheme="minorEastAsia"/>
                <w:color w:val="000000"/>
                <w:sz w:val="22"/>
                <w:szCs w:val="22"/>
                <w:lang w:eastAsia="zh-CN"/>
              </w:rPr>
              <w:t>、</w:t>
            </w:r>
            <w:r>
              <w:rPr>
                <w:rFonts w:hint="eastAsia" w:asciiTheme="minorEastAsia" w:hAnsiTheme="minorEastAsia" w:eastAsiaTheme="minorEastAsia" w:cstheme="minorEastAsia"/>
                <w:color w:val="000000"/>
                <w:sz w:val="22"/>
                <w:szCs w:val="22"/>
              </w:rPr>
              <w:t>女儿节活动筹办</w:t>
            </w:r>
          </w:p>
        </w:tc>
      </w:tr>
      <w:tr>
        <w:tblPrEx>
          <w:tblCellMar>
            <w:top w:w="0" w:type="dxa"/>
            <w:left w:w="0" w:type="dxa"/>
            <w:bottom w:w="0" w:type="dxa"/>
            <w:right w:w="0" w:type="dxa"/>
          </w:tblCellMar>
        </w:tblPrEx>
        <w:trPr>
          <w:trHeight w:val="459" w:hRule="atLeast"/>
          <w:jc w:val="center"/>
        </w:trPr>
        <w:tc>
          <w:tcPr>
            <w:tcW w:w="349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b/>
                <w:bCs/>
                <w:color w:val="000000"/>
                <w:kern w:val="0"/>
                <w:sz w:val="22"/>
                <w:szCs w:val="22"/>
              </w:rPr>
              <w:t>预算单位</w:t>
            </w:r>
          </w:p>
        </w:tc>
        <w:tc>
          <w:tcPr>
            <w:tcW w:w="657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广元市妇女联合会</w:t>
            </w:r>
          </w:p>
        </w:tc>
      </w:tr>
      <w:tr>
        <w:tblPrEx>
          <w:tblCellMar>
            <w:top w:w="0" w:type="dxa"/>
            <w:left w:w="0" w:type="dxa"/>
            <w:bottom w:w="0" w:type="dxa"/>
            <w:right w:w="0" w:type="dxa"/>
          </w:tblCellMar>
        </w:tblPrEx>
        <w:trPr>
          <w:trHeight w:val="471" w:hRule="atLeast"/>
          <w:jc w:val="center"/>
        </w:trPr>
        <w:tc>
          <w:tcPr>
            <w:tcW w:w="12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预算执行情况(万元)</w:t>
            </w:r>
          </w:p>
        </w:tc>
        <w:tc>
          <w:tcPr>
            <w:tcW w:w="22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预算数:</w:t>
            </w:r>
          </w:p>
        </w:tc>
        <w:tc>
          <w:tcPr>
            <w:tcW w:w="21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79.1</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执行数:</w:t>
            </w:r>
          </w:p>
        </w:tc>
        <w:tc>
          <w:tcPr>
            <w:tcW w:w="2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79.1</w:t>
            </w:r>
          </w:p>
        </w:tc>
      </w:tr>
      <w:tr>
        <w:tblPrEx>
          <w:tblCellMar>
            <w:top w:w="0" w:type="dxa"/>
            <w:left w:w="0" w:type="dxa"/>
            <w:bottom w:w="0" w:type="dxa"/>
            <w:right w:w="0" w:type="dxa"/>
          </w:tblCellMar>
        </w:tblPrEx>
        <w:trPr>
          <w:trHeight w:val="459"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color w:val="000000"/>
                <w:kern w:val="0"/>
                <w:sz w:val="22"/>
                <w:szCs w:val="22"/>
              </w:rPr>
            </w:pPr>
          </w:p>
        </w:tc>
        <w:tc>
          <w:tcPr>
            <w:tcW w:w="22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其中-财政拨款:</w:t>
            </w:r>
          </w:p>
        </w:tc>
        <w:tc>
          <w:tcPr>
            <w:tcW w:w="21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79.1</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其中-财政拨款:</w:t>
            </w:r>
          </w:p>
        </w:tc>
        <w:tc>
          <w:tcPr>
            <w:tcW w:w="2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79.1</w:t>
            </w:r>
          </w:p>
        </w:tc>
      </w:tr>
      <w:tr>
        <w:tblPrEx>
          <w:tblCellMar>
            <w:top w:w="0" w:type="dxa"/>
            <w:left w:w="0" w:type="dxa"/>
            <w:bottom w:w="0" w:type="dxa"/>
            <w:right w:w="0" w:type="dxa"/>
          </w:tblCellMar>
        </w:tblPrEx>
        <w:trPr>
          <w:trHeight w:val="2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color w:val="000000"/>
                <w:kern w:val="0"/>
                <w:sz w:val="22"/>
                <w:szCs w:val="22"/>
              </w:rPr>
            </w:pPr>
          </w:p>
        </w:tc>
        <w:tc>
          <w:tcPr>
            <w:tcW w:w="22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其它资金:</w:t>
            </w:r>
          </w:p>
        </w:tc>
        <w:tc>
          <w:tcPr>
            <w:tcW w:w="21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0</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其它资金:</w:t>
            </w:r>
          </w:p>
        </w:tc>
        <w:tc>
          <w:tcPr>
            <w:tcW w:w="2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0</w:t>
            </w:r>
          </w:p>
        </w:tc>
      </w:tr>
      <w:tr>
        <w:tblPrEx>
          <w:tblCellMar>
            <w:top w:w="0" w:type="dxa"/>
            <w:left w:w="0" w:type="dxa"/>
            <w:bottom w:w="0" w:type="dxa"/>
            <w:right w:w="0" w:type="dxa"/>
          </w:tblCellMar>
        </w:tblPrEx>
        <w:trPr>
          <w:trHeight w:val="20" w:hRule="atLeast"/>
          <w:jc w:val="center"/>
        </w:trPr>
        <w:tc>
          <w:tcPr>
            <w:tcW w:w="12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b/>
                <w:bCs/>
                <w:color w:val="000000"/>
                <w:kern w:val="0"/>
                <w:sz w:val="22"/>
                <w:szCs w:val="22"/>
              </w:rPr>
              <w:t>年</w:t>
            </w:r>
            <w:r>
              <w:rPr>
                <w:rFonts w:hint="eastAsia" w:asciiTheme="minorEastAsia" w:hAnsiTheme="minorEastAsia" w:eastAsiaTheme="minorEastAsia" w:cstheme="minorEastAsia"/>
                <w:b/>
                <w:bCs/>
                <w:color w:val="000000"/>
                <w:kern w:val="0"/>
                <w:sz w:val="22"/>
                <w:szCs w:val="22"/>
              </w:rPr>
              <w:t>度目</w:t>
            </w:r>
            <w:r>
              <w:rPr>
                <w:rFonts w:hint="eastAsia" w:asciiTheme="minorEastAsia" w:hAnsiTheme="minorEastAsia" w:eastAsiaTheme="minorEastAsia" w:cstheme="minorEastAsia"/>
                <w:b/>
                <w:bCs/>
                <w:color w:val="000000"/>
                <w:kern w:val="0"/>
                <w:sz w:val="22"/>
                <w:szCs w:val="22"/>
              </w:rPr>
              <w:t>标完成情况</w:t>
            </w:r>
          </w:p>
        </w:tc>
        <w:tc>
          <w:tcPr>
            <w:tcW w:w="44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预期目标</w:t>
            </w:r>
          </w:p>
        </w:tc>
        <w:tc>
          <w:tcPr>
            <w:tcW w:w="43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实际完成目标</w:t>
            </w:r>
          </w:p>
        </w:tc>
      </w:tr>
      <w:tr>
        <w:tblPrEx>
          <w:tblCellMar>
            <w:top w:w="0" w:type="dxa"/>
            <w:left w:w="0" w:type="dxa"/>
            <w:bottom w:w="0" w:type="dxa"/>
            <w:right w:w="0" w:type="dxa"/>
          </w:tblCellMar>
        </w:tblPrEx>
        <w:trPr>
          <w:trHeight w:val="3975" w:hRule="atLeast"/>
          <w:jc w:val="center"/>
        </w:trPr>
        <w:tc>
          <w:tcPr>
            <w:tcW w:w="1276" w:type="dxa"/>
            <w:vMerge w:val="continue"/>
            <w:tcBorders>
              <w:top w:val="single" w:color="000000" w:sz="4" w:space="0"/>
              <w:left w:val="single" w:color="000000" w:sz="4" w:space="0"/>
              <w:bottom w:val="single" w:color="auto" w:sz="6"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color w:val="000000"/>
                <w:sz w:val="22"/>
                <w:szCs w:val="22"/>
              </w:rPr>
            </w:pPr>
          </w:p>
        </w:tc>
        <w:tc>
          <w:tcPr>
            <w:tcW w:w="44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完成基层妇联干部岗位培训和巾帼家政服务培训，</w:t>
            </w:r>
            <w:r>
              <w:rPr>
                <w:rFonts w:hint="eastAsia" w:asciiTheme="minorEastAsia" w:hAnsiTheme="minorEastAsia" w:eastAsiaTheme="minorEastAsia" w:cstheme="minorEastAsia"/>
                <w:color w:val="191919"/>
                <w:sz w:val="22"/>
                <w:szCs w:val="22"/>
                <w:shd w:val="clear" w:color="auto" w:fill="FFFFFF"/>
              </w:rPr>
              <w:t>进</w:t>
            </w:r>
            <w:r>
              <w:rPr>
                <w:rFonts w:hint="eastAsia" w:asciiTheme="minorEastAsia" w:hAnsiTheme="minorEastAsia" w:eastAsiaTheme="minorEastAsia" w:cstheme="minorEastAsia"/>
                <w:sz w:val="22"/>
                <w:szCs w:val="22"/>
              </w:rPr>
              <w:t>一步引导和服务女性社会组织</w:t>
            </w:r>
            <w:r>
              <w:rPr>
                <w:rFonts w:hint="eastAsia" w:asciiTheme="minorEastAsia" w:hAnsiTheme="minorEastAsia" w:eastAsiaTheme="minorEastAsia" w:cstheme="minorEastAsia"/>
                <w:color w:val="000000"/>
                <w:sz w:val="22"/>
                <w:szCs w:val="22"/>
              </w:rPr>
              <w:t>，团结凝聚女性社会组织为广大妇女儿童和家庭服务，同时吸引力更多妇女投身事业发展，为我市发展增砖添瓦，</w:t>
            </w:r>
            <w:r>
              <w:rPr>
                <w:rFonts w:hint="eastAsia" w:asciiTheme="minorEastAsia" w:hAnsiTheme="minorEastAsia" w:eastAsiaTheme="minorEastAsia" w:cstheme="minorEastAsia"/>
                <w:sz w:val="22"/>
                <w:szCs w:val="22"/>
              </w:rPr>
              <w:t>充分利用妇联媒体，引导妇女和家庭学党史，知党恩，念党情了，进行重难点指标监测推进、开展性别平等意识咨询评估、两纲实施示范单位创建和困境儿童帮扶、儿童之家建设</w:t>
            </w:r>
            <w:r>
              <w:rPr>
                <w:rFonts w:hint="eastAsia" w:asciiTheme="minorEastAsia" w:hAnsiTheme="minorEastAsia" w:eastAsiaTheme="minorEastAsia" w:cstheme="minorEastAsia"/>
                <w:color w:val="000000"/>
                <w:sz w:val="22"/>
                <w:szCs w:val="22"/>
              </w:rPr>
              <w:t>筹备女儿节各项活动，保证女儿节顺利高质量的完成。</w:t>
            </w:r>
          </w:p>
        </w:tc>
        <w:tc>
          <w:tcPr>
            <w:tcW w:w="43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完成基层妇联干部岗位培训和巾帼家政服务培训，</w:t>
            </w:r>
            <w:r>
              <w:rPr>
                <w:rFonts w:hint="eastAsia" w:asciiTheme="minorEastAsia" w:hAnsiTheme="minorEastAsia" w:eastAsiaTheme="minorEastAsia" w:cstheme="minorEastAsia"/>
                <w:color w:val="191919"/>
                <w:sz w:val="22"/>
                <w:szCs w:val="22"/>
                <w:shd w:val="clear" w:color="auto" w:fill="FFFFFF"/>
              </w:rPr>
              <w:t>进</w:t>
            </w:r>
            <w:r>
              <w:rPr>
                <w:rFonts w:hint="eastAsia" w:asciiTheme="minorEastAsia" w:hAnsiTheme="minorEastAsia" w:eastAsiaTheme="minorEastAsia" w:cstheme="minorEastAsia"/>
                <w:sz w:val="22"/>
                <w:szCs w:val="22"/>
              </w:rPr>
              <w:t>一步引导和服务女性社会组织</w:t>
            </w:r>
            <w:r>
              <w:rPr>
                <w:rFonts w:hint="eastAsia" w:asciiTheme="minorEastAsia" w:hAnsiTheme="minorEastAsia" w:eastAsiaTheme="minorEastAsia" w:cstheme="minorEastAsia"/>
                <w:color w:val="000000"/>
                <w:sz w:val="22"/>
                <w:szCs w:val="22"/>
              </w:rPr>
              <w:t>，团结凝聚女性社会组织为广大妇女儿童和家庭服务，同时吸引力更多妇女投身事业发展，为我市发展增砖添瓦，</w:t>
            </w:r>
            <w:r>
              <w:rPr>
                <w:rFonts w:hint="eastAsia" w:asciiTheme="minorEastAsia" w:hAnsiTheme="minorEastAsia" w:eastAsiaTheme="minorEastAsia" w:cstheme="minorEastAsia"/>
                <w:sz w:val="22"/>
                <w:szCs w:val="22"/>
              </w:rPr>
              <w:t>充分利用妇联媒体，引导妇女和家庭学党史，知党恩，念党情了，进行重难点指标监测推进、开展性别平等意识咨询评估、两纲实施示范单位创建和困境儿童帮扶、儿童之家建设</w:t>
            </w:r>
            <w:r>
              <w:rPr>
                <w:rFonts w:hint="eastAsia" w:asciiTheme="minorEastAsia" w:hAnsiTheme="minorEastAsia" w:eastAsiaTheme="minorEastAsia" w:cstheme="minorEastAsia"/>
                <w:color w:val="000000"/>
                <w:sz w:val="22"/>
                <w:szCs w:val="22"/>
              </w:rPr>
              <w:t>筹备女儿节各项活动，保证女儿节顺利高质量的完成。</w:t>
            </w:r>
          </w:p>
        </w:tc>
      </w:tr>
      <w:tr>
        <w:tblPrEx>
          <w:tblCellMar>
            <w:top w:w="0" w:type="dxa"/>
            <w:left w:w="0" w:type="dxa"/>
            <w:bottom w:w="0" w:type="dxa"/>
            <w:right w:w="0" w:type="dxa"/>
          </w:tblCellMar>
        </w:tblPrEx>
        <w:trPr>
          <w:trHeight w:val="894" w:hRule="atLeast"/>
          <w:jc w:val="center"/>
        </w:trPr>
        <w:tc>
          <w:tcPr>
            <w:tcW w:w="1276" w:type="dxa"/>
            <w:vMerge w:val="restart"/>
            <w:tcBorders>
              <w:top w:val="single" w:color="auto" w:sz="6"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2"/>
                <w:szCs w:val="22"/>
              </w:rPr>
            </w:pP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2"/>
                <w:szCs w:val="22"/>
              </w:rPr>
            </w:pP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color w:val="000000"/>
                <w:kern w:val="0"/>
                <w:sz w:val="22"/>
                <w:szCs w:val="22"/>
              </w:rPr>
            </w:pP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绩效</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指标</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完成</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情况</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2"/>
                <w:szCs w:val="22"/>
              </w:rPr>
            </w:pP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2"/>
                <w:szCs w:val="22"/>
              </w:rPr>
            </w:pP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2"/>
                <w:szCs w:val="22"/>
              </w:rPr>
            </w:pP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2"/>
                <w:szCs w:val="22"/>
              </w:rPr>
            </w:pP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2"/>
                <w:szCs w:val="22"/>
              </w:rPr>
            </w:pP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2"/>
                <w:szCs w:val="22"/>
              </w:rPr>
            </w:pP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2"/>
                <w:szCs w:val="22"/>
              </w:rPr>
            </w:pP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2"/>
                <w:szCs w:val="22"/>
              </w:rPr>
            </w:pP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2"/>
                <w:szCs w:val="22"/>
              </w:rPr>
            </w:pP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2"/>
                <w:szCs w:val="22"/>
              </w:rPr>
            </w:pP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2"/>
                <w:szCs w:val="22"/>
              </w:rPr>
            </w:pP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color w:val="000000"/>
                <w:kern w:val="0"/>
                <w:sz w:val="22"/>
                <w:szCs w:val="22"/>
              </w:rPr>
            </w:pP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绩效</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指标</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完成</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情况</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2"/>
                <w:szCs w:val="22"/>
              </w:rPr>
            </w:pP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一级指标</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二级指标</w:t>
            </w:r>
          </w:p>
        </w:tc>
        <w:tc>
          <w:tcPr>
            <w:tcW w:w="21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三级指标</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预期指标值(包含数字及文字描述)</w:t>
            </w:r>
          </w:p>
        </w:tc>
        <w:tc>
          <w:tcPr>
            <w:tcW w:w="2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实际完成指标值(包含数字及文字描述)</w:t>
            </w:r>
          </w:p>
        </w:tc>
      </w:tr>
      <w:tr>
        <w:tblPrEx>
          <w:tblCellMar>
            <w:top w:w="0" w:type="dxa"/>
            <w:left w:w="0" w:type="dxa"/>
            <w:bottom w:w="0" w:type="dxa"/>
            <w:right w:w="0" w:type="dxa"/>
          </w:tblCellMar>
        </w:tblPrEx>
        <w:trPr>
          <w:trHeight w:val="3538" w:hRule="atLeast"/>
          <w:jc w:val="center"/>
        </w:trPr>
        <w:tc>
          <w:tcPr>
            <w:tcW w:w="1276"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2"/>
                <w:szCs w:val="22"/>
              </w:rPr>
            </w:pPr>
          </w:p>
        </w:tc>
        <w:tc>
          <w:tcPr>
            <w:tcW w:w="105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b/>
                <w:bCs/>
                <w:color w:val="000000"/>
                <w:kern w:val="0"/>
                <w:sz w:val="22"/>
                <w:szCs w:val="22"/>
              </w:rPr>
              <w:t>项目完成指标</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b/>
                <w:bCs/>
                <w:color w:val="000000"/>
                <w:kern w:val="0"/>
                <w:sz w:val="22"/>
                <w:szCs w:val="22"/>
              </w:rPr>
              <w:t>数量指标</w:t>
            </w:r>
          </w:p>
        </w:tc>
        <w:tc>
          <w:tcPr>
            <w:tcW w:w="21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完成省外举办女性领导力提升专题研修班1期60人， 完成基层妇联干部岗位培训班1期100人，完成巾帼家政服务培训班1期50人，“幸福使者”培训1期100人。</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完成100%，研修班1期60人，基层妇联干部岗位培训班1期100人，巾帼家政服务培训班1期50人，“幸福使者”培训1期100人。</w:t>
            </w:r>
          </w:p>
        </w:tc>
        <w:tc>
          <w:tcPr>
            <w:tcW w:w="2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完成100%，研修班1期60人，基层妇联干部岗位培训班1期100人，巾帼家政服务培训班1期50人，“幸福使者”培训1期100人。</w:t>
            </w:r>
          </w:p>
        </w:tc>
      </w:tr>
      <w:tr>
        <w:tblPrEx>
          <w:tblCellMar>
            <w:top w:w="0" w:type="dxa"/>
            <w:left w:w="0" w:type="dxa"/>
            <w:bottom w:w="0" w:type="dxa"/>
            <w:right w:w="0" w:type="dxa"/>
          </w:tblCellMar>
        </w:tblPrEx>
        <w:trPr>
          <w:trHeight w:val="3469" w:hRule="atLeast"/>
          <w:jc w:val="center"/>
        </w:trPr>
        <w:tc>
          <w:tcPr>
            <w:tcW w:w="1276"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2"/>
                <w:szCs w:val="22"/>
              </w:rPr>
            </w:pPr>
          </w:p>
        </w:tc>
        <w:tc>
          <w:tcPr>
            <w:tcW w:w="1059" w:type="dxa"/>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b/>
                <w:bCs/>
                <w:color w:val="000000"/>
                <w:kern w:val="0"/>
                <w:sz w:val="22"/>
                <w:szCs w:val="22"/>
              </w:rPr>
              <w:t>项</w:t>
            </w:r>
            <w:r>
              <w:rPr>
                <w:rFonts w:hint="eastAsia" w:asciiTheme="minorEastAsia" w:hAnsiTheme="minorEastAsia" w:eastAsiaTheme="minorEastAsia" w:cstheme="minorEastAsia"/>
                <w:b/>
                <w:bCs/>
                <w:color w:val="000000"/>
                <w:kern w:val="0"/>
                <w:sz w:val="22"/>
                <w:szCs w:val="22"/>
              </w:rPr>
              <w:t>目完成指标</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b/>
                <w:bCs/>
                <w:color w:val="000000"/>
                <w:kern w:val="0"/>
                <w:sz w:val="22"/>
                <w:szCs w:val="22"/>
              </w:rPr>
              <w:t>数量指标</w:t>
            </w:r>
          </w:p>
        </w:tc>
        <w:tc>
          <w:tcPr>
            <w:tcW w:w="21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一是举办纪念“三八”国际妇女节活动；二是举办百千万巾帼大宣讲活动；三是开展优秀女性表彰及宣讲活动；四是新媒体建设宣传活动；五是开展巾帼志愿者服务活动。</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完成100%，举办纪念“三八”国际妇女节活动；举办百千万巾帼大宣讲活动；开展优秀女性表彰及宣讲活动；新媒体建设宣传活动；开展巾帼志愿者服务活动。</w:t>
            </w:r>
          </w:p>
        </w:tc>
        <w:tc>
          <w:tcPr>
            <w:tcW w:w="2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000000"/>
                <w:sz w:val="22"/>
                <w:szCs w:val="22"/>
                <w:vertAlign w:val="subscript"/>
              </w:rPr>
            </w:pPr>
            <w:r>
              <w:rPr>
                <w:rFonts w:hint="eastAsia" w:asciiTheme="minorEastAsia" w:hAnsiTheme="minorEastAsia" w:eastAsiaTheme="minorEastAsia" w:cstheme="minorEastAsia"/>
                <w:color w:val="000000"/>
                <w:sz w:val="22"/>
                <w:szCs w:val="22"/>
              </w:rPr>
              <w:t>完成100%，举办纪念“三八”国际妇女节活动；举办百千万巾帼大宣讲活动；开展优秀女性表彰及宣讲活动；新媒体建设宣传活动；开展巾帼志愿者服务活动。</w:t>
            </w:r>
          </w:p>
        </w:tc>
      </w:tr>
      <w:tr>
        <w:tblPrEx>
          <w:tblCellMar>
            <w:top w:w="0" w:type="dxa"/>
            <w:left w:w="0" w:type="dxa"/>
            <w:bottom w:w="0" w:type="dxa"/>
            <w:right w:w="0" w:type="dxa"/>
          </w:tblCellMar>
        </w:tblPrEx>
        <w:trPr>
          <w:trHeight w:val="5376" w:hRule="atLeast"/>
          <w:jc w:val="center"/>
        </w:trPr>
        <w:tc>
          <w:tcPr>
            <w:tcW w:w="1276"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2"/>
                <w:szCs w:val="22"/>
              </w:rPr>
            </w:pPr>
          </w:p>
        </w:tc>
        <w:tc>
          <w:tcPr>
            <w:tcW w:w="1059" w:type="dxa"/>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b/>
                <w:bCs/>
                <w:color w:val="000000"/>
                <w:kern w:val="0"/>
                <w:sz w:val="22"/>
                <w:szCs w:val="22"/>
              </w:rPr>
              <w:t>项目完成指标</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b/>
                <w:bCs/>
                <w:color w:val="000000"/>
                <w:kern w:val="0"/>
                <w:sz w:val="22"/>
                <w:szCs w:val="22"/>
              </w:rPr>
              <w:t>数量指标</w:t>
            </w:r>
          </w:p>
        </w:tc>
        <w:tc>
          <w:tcPr>
            <w:tcW w:w="21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召开全市妇儿工委全委扩大会议1次，开展市县区妇儿工委成员单位联络员暨两纲实施重难点指标监测培训会（预评估会）100人， 组织县区新建设一批儿童之家，开展困境儿童帮扶和六一慰问活动，购买慰问品等。</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完成100%，召开全市妇儿工委全委扩大会议1次，开展市县区妇儿工委成员单位联络员暨两纲实施重难点指标监测培训会（预评估会）100人， 组织县区新建设一批儿童之家，开展困境儿童帮扶和六一慰问活动，购买慰问品等。</w:t>
            </w:r>
          </w:p>
        </w:tc>
        <w:tc>
          <w:tcPr>
            <w:tcW w:w="2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完成100%，召开全市妇儿工委全委扩大会议1次，开展市县区妇儿工委成员单位联络员暨两纲实施重难点指标监测培训会（预评估会）100人， 组织县区新建设一批儿童之家，开展困境儿童帮扶和六一慰问活动，购买慰问品等。</w:t>
            </w:r>
          </w:p>
        </w:tc>
      </w:tr>
      <w:tr>
        <w:tblPrEx>
          <w:tblCellMar>
            <w:top w:w="0" w:type="dxa"/>
            <w:left w:w="0" w:type="dxa"/>
            <w:bottom w:w="0" w:type="dxa"/>
            <w:right w:w="0" w:type="dxa"/>
          </w:tblCellMar>
        </w:tblPrEx>
        <w:trPr>
          <w:trHeight w:val="3719" w:hRule="atLeast"/>
          <w:jc w:val="center"/>
        </w:trPr>
        <w:tc>
          <w:tcPr>
            <w:tcW w:w="1276"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2"/>
                <w:szCs w:val="22"/>
              </w:rPr>
            </w:pP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项目完成指标</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数量指标</w:t>
            </w:r>
          </w:p>
        </w:tc>
        <w:tc>
          <w:tcPr>
            <w:tcW w:w="21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通过实施女儿节活动，展示女性风采、传承历史情怀的重要载体，彰显厚重文化、时代精神的重要窗口，促进开放合作、实现共建共享的重要平台。</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通过实施女儿节活动，展示女性风采、传承历史情怀的重要载体，彰显厚重文化、时代精神的重要窗口，促进开放合作、实现共建共享的重要平台。</w:t>
            </w:r>
          </w:p>
        </w:tc>
        <w:tc>
          <w:tcPr>
            <w:tcW w:w="2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通过实施女儿节活动，展示女性风采、传承历史情怀的重要载体，彰显厚重文化、时代精神的重要窗口，促进开放合作、实现共建共享的重要平台。</w:t>
            </w:r>
          </w:p>
        </w:tc>
      </w:tr>
      <w:tr>
        <w:tblPrEx>
          <w:tblCellMar>
            <w:top w:w="0" w:type="dxa"/>
            <w:left w:w="0" w:type="dxa"/>
            <w:bottom w:w="0" w:type="dxa"/>
            <w:right w:w="0" w:type="dxa"/>
          </w:tblCellMar>
        </w:tblPrEx>
        <w:trPr>
          <w:trHeight w:val="2473" w:hRule="atLeast"/>
          <w:jc w:val="center"/>
        </w:trPr>
        <w:tc>
          <w:tcPr>
            <w:tcW w:w="1276"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2"/>
                <w:szCs w:val="22"/>
              </w:rPr>
            </w:pP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项目完成指标</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质量指标</w:t>
            </w:r>
          </w:p>
        </w:tc>
        <w:tc>
          <w:tcPr>
            <w:tcW w:w="21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更好地维护妇女儿童合法权益，助推社会、家庭和谐。</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更好地维护妇女儿童合法权益，促进妇女发展和参政议政能力，助推社会、家庭和谐、男女平等等。</w:t>
            </w:r>
          </w:p>
        </w:tc>
        <w:tc>
          <w:tcPr>
            <w:tcW w:w="2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带动更多的妇女在项目品牌上下功夫，使品牌提档升级不少于3个</w:t>
            </w:r>
          </w:p>
        </w:tc>
      </w:tr>
      <w:tr>
        <w:tblPrEx>
          <w:tblCellMar>
            <w:top w:w="0" w:type="dxa"/>
            <w:left w:w="0" w:type="dxa"/>
            <w:bottom w:w="0" w:type="dxa"/>
            <w:right w:w="0" w:type="dxa"/>
          </w:tblCellMar>
        </w:tblPrEx>
        <w:trPr>
          <w:trHeight w:val="1612" w:hRule="atLeast"/>
          <w:jc w:val="center"/>
        </w:trPr>
        <w:tc>
          <w:tcPr>
            <w:tcW w:w="1276"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2"/>
                <w:szCs w:val="22"/>
              </w:rPr>
            </w:pP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效益指标</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社会</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效益</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指标</w:t>
            </w:r>
          </w:p>
        </w:tc>
        <w:tc>
          <w:tcPr>
            <w:tcW w:w="21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助推社会综合治理平安和谐，为经济发展作好妇女稳定工作</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助推社会和谐 、助力社会综合治理</w:t>
            </w:r>
          </w:p>
        </w:tc>
        <w:tc>
          <w:tcPr>
            <w:tcW w:w="2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助推妇女事业健康、持续、稳定发展，不断提升妇女综合社会地位的能力</w:t>
            </w:r>
          </w:p>
        </w:tc>
      </w:tr>
      <w:tr>
        <w:tblPrEx>
          <w:tblCellMar>
            <w:top w:w="0" w:type="dxa"/>
            <w:left w:w="0" w:type="dxa"/>
            <w:bottom w:w="0" w:type="dxa"/>
            <w:right w:w="0" w:type="dxa"/>
          </w:tblCellMar>
        </w:tblPrEx>
        <w:trPr>
          <w:trHeight w:val="1450" w:hRule="atLeast"/>
          <w:jc w:val="center"/>
        </w:trPr>
        <w:tc>
          <w:tcPr>
            <w:tcW w:w="1276"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2"/>
                <w:szCs w:val="22"/>
              </w:rPr>
            </w:pP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效益指标</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社会</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效益</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指标</w:t>
            </w:r>
          </w:p>
        </w:tc>
        <w:tc>
          <w:tcPr>
            <w:tcW w:w="21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助推妇女事业发展，提升妇女综合社会地位</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助推社会和谐 、助力社会综合治理</w:t>
            </w:r>
          </w:p>
        </w:tc>
        <w:tc>
          <w:tcPr>
            <w:tcW w:w="2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助推妇女事业健康、持续、稳定发展，不断提升妇女综合社会地位的能力</w:t>
            </w:r>
          </w:p>
        </w:tc>
      </w:tr>
      <w:tr>
        <w:tblPrEx>
          <w:tblCellMar>
            <w:top w:w="0" w:type="dxa"/>
            <w:left w:w="0" w:type="dxa"/>
            <w:bottom w:w="0" w:type="dxa"/>
            <w:right w:w="0" w:type="dxa"/>
          </w:tblCellMar>
        </w:tblPrEx>
        <w:trPr>
          <w:trHeight w:val="2784" w:hRule="atLeast"/>
          <w:jc w:val="center"/>
        </w:trPr>
        <w:tc>
          <w:tcPr>
            <w:tcW w:w="1276"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2"/>
                <w:szCs w:val="22"/>
              </w:rPr>
            </w:pP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满意度</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指标</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满意度指标</w:t>
            </w:r>
          </w:p>
        </w:tc>
        <w:tc>
          <w:tcPr>
            <w:tcW w:w="21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shd w:val="clear" w:color="auto" w:fill="FFFFFF"/>
              </w:rPr>
              <w:t>设置：不满意、一般、满意、非常满意4个满意度指标。通过对所服务对象征询意见，征询项目在服务方式、服务手段、实施成效等满意度进行调查。</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shd w:val="clear" w:color="auto" w:fill="FFFFFF"/>
              </w:rPr>
              <w:t>满意以上指标达90%以上</w:t>
            </w:r>
          </w:p>
        </w:tc>
        <w:tc>
          <w:tcPr>
            <w:tcW w:w="2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shd w:val="clear" w:color="auto" w:fill="FFFFFF"/>
              </w:rPr>
              <w:t>满意以上指标达90%以上</w:t>
            </w:r>
          </w:p>
        </w:tc>
      </w:tr>
    </w:tbl>
    <w:p>
      <w:pPr>
        <w:spacing w:line="360" w:lineRule="auto"/>
        <w:rPr>
          <w:rFonts w:ascii="仿宋_GB2312" w:hAnsi="仿宋_GB2312" w:eastAsia="仿宋_GB2312" w:cs="仿宋_GB2312"/>
          <w:sz w:val="24"/>
        </w:rPr>
      </w:pPr>
    </w:p>
    <w:p>
      <w:pPr>
        <w:keepNext w:val="0"/>
        <w:keepLines w:val="0"/>
        <w:pageBreakBefore w:val="0"/>
        <w:widowControl w:val="0"/>
        <w:kinsoku/>
        <w:wordWrap/>
        <w:overflowPunct/>
        <w:topLinePunct w:val="0"/>
        <w:autoSpaceDE/>
        <w:autoSpaceDN/>
        <w:bidi w:val="0"/>
        <w:adjustRightInd/>
        <w:snapToGrid/>
        <w:spacing w:line="500" w:lineRule="exact"/>
        <w:ind w:left="63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2.部门绩效评价结果。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本部门按要求对2019年部门整体支出绩效评价情况开展自评，《广元市妇女联合会2019年部门整体支出绩效评价报告》见附件（附件1）。</w:t>
      </w:r>
    </w:p>
    <w:p>
      <w:pPr>
        <w:spacing w:line="360" w:lineRule="auto"/>
        <w:ind w:firstLine="480" w:firstLineChars="200"/>
        <w:rPr>
          <w:rFonts w:ascii="仿宋_GB2312" w:hAnsi="仿宋_GB2312" w:eastAsia="仿宋_GB2312" w:cs="仿宋_GB2312"/>
          <w:sz w:val="24"/>
        </w:rPr>
      </w:pPr>
    </w:p>
    <w:p>
      <w:pPr>
        <w:spacing w:line="360" w:lineRule="auto"/>
        <w:ind w:firstLine="480" w:firstLineChars="200"/>
        <w:rPr>
          <w:rFonts w:ascii="仿宋_GB2312" w:hAnsi="仿宋_GB2312" w:eastAsia="仿宋_GB2312" w:cs="仿宋_GB2312"/>
          <w:sz w:val="24"/>
        </w:rPr>
      </w:pPr>
    </w:p>
    <w:p>
      <w:pPr>
        <w:spacing w:line="360" w:lineRule="auto"/>
        <w:ind w:firstLine="480" w:firstLineChars="200"/>
        <w:rPr>
          <w:rFonts w:ascii="仿宋_GB2312" w:hAnsi="仿宋_GB2312" w:eastAsia="仿宋_GB2312" w:cs="仿宋_GB2312"/>
          <w:sz w:val="24"/>
        </w:rPr>
      </w:pPr>
    </w:p>
    <w:p>
      <w:pPr>
        <w:spacing w:line="360" w:lineRule="auto"/>
        <w:jc w:val="both"/>
        <w:outlineLvl w:val="0"/>
        <w:rPr>
          <w:rFonts w:hint="eastAsia" w:ascii="仿宋_GB2312" w:hAnsi="仿宋_GB2312" w:eastAsia="仿宋_GB2312" w:cs="仿宋_GB2312"/>
          <w:sz w:val="24"/>
        </w:rPr>
      </w:pPr>
      <w:bookmarkStart w:id="55" w:name="_Toc15377225"/>
      <w:bookmarkStart w:id="56" w:name="_Toc15396613"/>
    </w:p>
    <w:p>
      <w:pPr>
        <w:spacing w:line="360" w:lineRule="auto"/>
        <w:ind w:left="360"/>
        <w:jc w:val="center"/>
        <w:outlineLvl w:val="0"/>
        <w:rPr>
          <w:rStyle w:val="31"/>
          <w:rFonts w:ascii="黑体" w:hAnsi="黑体" w:eastAsia="黑体"/>
          <w:b w:val="0"/>
          <w:sz w:val="32"/>
          <w:szCs w:val="32"/>
        </w:rPr>
      </w:pPr>
      <w:r>
        <w:rPr>
          <w:rFonts w:hint="eastAsia" w:ascii="黑体" w:hAnsi="黑体" w:eastAsia="黑体"/>
          <w:color w:val="000000"/>
          <w:sz w:val="32"/>
          <w:szCs w:val="32"/>
        </w:rPr>
        <w:t>名</w:t>
      </w:r>
      <w:r>
        <w:rPr>
          <w:rFonts w:hint="eastAsia" w:ascii="黑体" w:hAnsi="黑体" w:eastAsia="黑体"/>
          <w:color w:val="000000"/>
          <w:sz w:val="32"/>
          <w:szCs w:val="32"/>
          <w:lang w:val="en-US" w:eastAsia="zh-CN"/>
        </w:rPr>
        <w:t xml:space="preserve"> </w:t>
      </w:r>
      <w:r>
        <w:rPr>
          <w:rStyle w:val="31"/>
          <w:rFonts w:hint="eastAsia" w:ascii="黑体" w:hAnsi="黑体" w:eastAsia="黑体"/>
          <w:b w:val="0"/>
          <w:sz w:val="32"/>
          <w:szCs w:val="32"/>
        </w:rPr>
        <w:t>词</w:t>
      </w:r>
      <w:r>
        <w:rPr>
          <w:rStyle w:val="31"/>
          <w:rFonts w:hint="eastAsia" w:ascii="黑体" w:hAnsi="黑体" w:eastAsia="黑体"/>
          <w:b w:val="0"/>
          <w:sz w:val="32"/>
          <w:szCs w:val="32"/>
          <w:lang w:val="en-US" w:eastAsia="zh-CN"/>
        </w:rPr>
        <w:t xml:space="preserve"> </w:t>
      </w:r>
      <w:r>
        <w:rPr>
          <w:rStyle w:val="31"/>
          <w:rFonts w:hint="eastAsia" w:ascii="黑体" w:hAnsi="黑体" w:eastAsia="黑体"/>
          <w:b w:val="0"/>
          <w:sz w:val="32"/>
          <w:szCs w:val="32"/>
        </w:rPr>
        <w:t>解</w:t>
      </w:r>
      <w:r>
        <w:rPr>
          <w:rStyle w:val="31"/>
          <w:rFonts w:hint="eastAsia" w:ascii="黑体" w:hAnsi="黑体" w:eastAsia="黑体"/>
          <w:b w:val="0"/>
          <w:sz w:val="32"/>
          <w:szCs w:val="32"/>
          <w:lang w:val="en-US" w:eastAsia="zh-CN"/>
        </w:rPr>
        <w:t xml:space="preserve"> </w:t>
      </w:r>
      <w:r>
        <w:rPr>
          <w:rStyle w:val="31"/>
          <w:rFonts w:hint="eastAsia" w:ascii="黑体" w:hAnsi="黑体" w:eastAsia="黑体"/>
          <w:b w:val="0"/>
          <w:sz w:val="32"/>
          <w:szCs w:val="32"/>
        </w:rPr>
        <w:t>释</w:t>
      </w:r>
      <w:bookmarkEnd w:id="55"/>
      <w:bookmarkEnd w:id="56"/>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color w:val="000000"/>
          <w:sz w:val="32"/>
          <w:szCs w:val="32"/>
        </w:rPr>
      </w:pPr>
    </w:p>
    <w:p>
      <w:pPr>
        <w:pStyle w:val="29"/>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1、财政拨款收入：指单位从同级财政部门取得的财政预算资金。</w:t>
      </w:r>
    </w:p>
    <w:p>
      <w:pPr>
        <w:pStyle w:val="29"/>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2、其他收入：指单位取得的除上述收入以外的各项收入。主要是…（收入类型）等。</w:t>
      </w:r>
    </w:p>
    <w:p>
      <w:pPr>
        <w:pStyle w:val="29"/>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3、年初结转和结余：指以前年度尚未完成、结转到本年按有关规定继续使用的资金。</w:t>
      </w:r>
    </w:p>
    <w:p>
      <w:pPr>
        <w:pStyle w:val="29"/>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4、年末结转和结余：指单位按有关规定结转到下年或以后年度继续使用的资金。</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5、一般公共服务（类）群众团体事务（款）行政运行（项）：指</w:t>
      </w:r>
      <w:r>
        <w:rPr>
          <w:rFonts w:hint="eastAsia" w:ascii="仿宋_GB2312" w:hAnsi="仿宋_GB2312" w:eastAsia="仿宋_GB2312" w:cs="仿宋_GB2312"/>
          <w:sz w:val="32"/>
          <w:szCs w:val="32"/>
        </w:rPr>
        <w:t>反</w:t>
      </w:r>
      <w:r>
        <w:rPr>
          <w:rFonts w:hint="eastAsia" w:ascii="仿宋_GB2312" w:hAnsi="仿宋_GB2312" w:eastAsia="仿宋_GB2312" w:cs="仿宋_GB2312"/>
          <w:color w:val="000000"/>
          <w:sz w:val="32"/>
          <w:szCs w:val="32"/>
        </w:rPr>
        <w:t>应单位日常的基本支出。</w:t>
      </w:r>
    </w:p>
    <w:p>
      <w:pPr>
        <w:keepNext w:val="0"/>
        <w:keepLines w:val="0"/>
        <w:pageBreakBefore w:val="0"/>
        <w:widowControl w:val="0"/>
        <w:kinsoku/>
        <w:wordWrap/>
        <w:overflowPunct/>
        <w:topLinePunct w:val="0"/>
        <w:bidi w:val="0"/>
        <w:snapToGrid/>
        <w:spacing w:line="576"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6、社会保障和就业（类）行政事业单位离退休（款）未归口管理行政单位离退休（项）：反应其他用于行政事业单位离退休方面的支出。</w:t>
      </w:r>
    </w:p>
    <w:p>
      <w:pPr>
        <w:keepNext w:val="0"/>
        <w:keepLines w:val="0"/>
        <w:pageBreakBefore w:val="0"/>
        <w:widowControl w:val="0"/>
        <w:kinsoku/>
        <w:wordWrap/>
        <w:overflowPunct/>
        <w:topLinePunct w:val="0"/>
        <w:bidi w:val="0"/>
        <w:snapToGrid/>
        <w:spacing w:line="576"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7、社会保障和就业（类）行政事业单位离退休（款）机关事业单位基本仰赖保险缴费支出（项）：指单位按规定给职工缴纳的养老保险。</w:t>
      </w:r>
    </w:p>
    <w:p>
      <w:pPr>
        <w:keepNext w:val="0"/>
        <w:keepLines w:val="0"/>
        <w:pageBreakBefore w:val="0"/>
        <w:widowControl w:val="0"/>
        <w:kinsoku/>
        <w:wordWrap/>
        <w:overflowPunct/>
        <w:topLinePunct w:val="0"/>
        <w:bidi w:val="0"/>
        <w:snapToGrid/>
        <w:spacing w:line="576"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8、社会保障和就业（类）行政事业单位离退休（款）机关事业单位职业年金缴费支出（项）：指单位按规定给职工缴纳的职业年金。</w:t>
      </w:r>
    </w:p>
    <w:p>
      <w:pPr>
        <w:keepNext w:val="0"/>
        <w:keepLines w:val="0"/>
        <w:pageBreakBefore w:val="0"/>
        <w:widowControl w:val="0"/>
        <w:kinsoku/>
        <w:wordWrap/>
        <w:overflowPunct/>
        <w:topLinePunct w:val="0"/>
        <w:bidi w:val="0"/>
        <w:snapToGrid/>
        <w:spacing w:line="576"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9、医疗卫生与计划生育支出（类）行政事业单位医疗（款）行政单位医疗（项）：指单位按规定给职工缴纳的医疗保险。</w:t>
      </w:r>
    </w:p>
    <w:p>
      <w:pPr>
        <w:keepNext w:val="0"/>
        <w:keepLines w:val="0"/>
        <w:pageBreakBefore w:val="0"/>
        <w:widowControl w:val="0"/>
        <w:kinsoku/>
        <w:wordWrap/>
        <w:overflowPunct/>
        <w:topLinePunct w:val="0"/>
        <w:bidi w:val="0"/>
        <w:snapToGrid/>
        <w:spacing w:line="576"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10、农林水（类）扶贫（款）其他扶贫支出（项）：反应农村贫困地区扶贫奖补和贴息补助支出、“三西”农业建设补助支出、扶贫事业单位项目以外的用于其他扶贫方面的支出。</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11、基本支出：指为保障机构正常运转、完成日常工作任务而发生的人员支出和公用支出。</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12、项目支出：指在基本支出之外为完成特定行政任务和事业发展目标所发生的支出。</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13、经营支出：指事业单位在专业业务活动及其辅助活动之外开展非独立核算经营活动发生的支出。</w:t>
      </w:r>
    </w:p>
    <w:p>
      <w:pPr>
        <w:pStyle w:val="29"/>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 “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9"/>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 w:hAnsi="仿宋" w:eastAsia="仿宋"/>
          <w:b/>
          <w:color w:val="000000"/>
          <w:sz w:val="24"/>
        </w:rPr>
      </w:pPr>
      <w:r>
        <w:rPr>
          <w:rFonts w:hint="eastAsia" w:ascii="仿宋_GB2312" w:hAnsi="仿宋_GB2312" w:eastAsia="仿宋_GB2312" w:cs="仿宋_GB2312"/>
          <w:sz w:val="32"/>
          <w:szCs w:val="32"/>
        </w:rPr>
        <w:t>15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57" w:name="_Toc15396614"/>
      <w:bookmarkStart w:id="58" w:name="_Toc15377226"/>
    </w:p>
    <w:p>
      <w:pPr>
        <w:spacing w:line="360" w:lineRule="auto"/>
        <w:jc w:val="center"/>
        <w:outlineLvl w:val="0"/>
        <w:rPr>
          <w:rStyle w:val="31"/>
          <w:rFonts w:ascii="黑体" w:hAnsi="黑体" w:eastAsia="黑体"/>
          <w:b w:val="0"/>
          <w:sz w:val="32"/>
          <w:szCs w:val="32"/>
        </w:rPr>
      </w:pPr>
      <w:r>
        <w:rPr>
          <w:rFonts w:hint="eastAsia" w:ascii="黑体" w:hAnsi="黑体" w:eastAsia="黑体"/>
          <w:color w:val="000000"/>
          <w:sz w:val="32"/>
          <w:szCs w:val="32"/>
        </w:rPr>
        <w:t>第</w:t>
      </w:r>
      <w:r>
        <w:rPr>
          <w:rStyle w:val="31"/>
          <w:rFonts w:hint="eastAsia" w:ascii="黑体" w:hAnsi="黑体" w:eastAsia="黑体"/>
          <w:b w:val="0"/>
          <w:sz w:val="32"/>
          <w:szCs w:val="32"/>
        </w:rPr>
        <w:t>四部分</w:t>
      </w:r>
      <w:r>
        <w:rPr>
          <w:rStyle w:val="31"/>
          <w:rFonts w:hint="eastAsia" w:ascii="黑体" w:hAnsi="黑体" w:eastAsia="黑体"/>
          <w:b w:val="0"/>
          <w:sz w:val="32"/>
          <w:szCs w:val="32"/>
          <w:lang w:val="en-US" w:eastAsia="zh-CN"/>
        </w:rPr>
        <w:t xml:space="preserve">  </w:t>
      </w:r>
      <w:r>
        <w:rPr>
          <w:rStyle w:val="31"/>
          <w:rFonts w:hint="eastAsia" w:ascii="黑体" w:hAnsi="黑体" w:eastAsia="黑体"/>
          <w:b w:val="0"/>
          <w:sz w:val="32"/>
          <w:szCs w:val="32"/>
        </w:rPr>
        <w:t xml:space="preserve"> 附</w:t>
      </w:r>
      <w:r>
        <w:rPr>
          <w:rStyle w:val="31"/>
          <w:rFonts w:hint="eastAsia" w:ascii="黑体" w:hAnsi="黑体" w:eastAsia="黑体"/>
          <w:b w:val="0"/>
          <w:sz w:val="32"/>
          <w:szCs w:val="32"/>
          <w:lang w:val="en-US" w:eastAsia="zh-CN"/>
        </w:rPr>
        <w:t xml:space="preserve">  </w:t>
      </w:r>
      <w:bookmarkStart w:id="73" w:name="_GoBack"/>
      <w:bookmarkEnd w:id="73"/>
      <w:r>
        <w:rPr>
          <w:rStyle w:val="31"/>
          <w:rFonts w:hint="eastAsia" w:ascii="黑体" w:hAnsi="黑体" w:eastAsia="黑体"/>
          <w:b w:val="0"/>
          <w:sz w:val="32"/>
          <w:szCs w:val="32"/>
        </w:rPr>
        <w:t>件</w:t>
      </w:r>
      <w:bookmarkEnd w:id="57"/>
    </w:p>
    <w:p>
      <w:pPr>
        <w:spacing w:line="360" w:lineRule="auto"/>
        <w:jc w:val="left"/>
        <w:outlineLvl w:val="0"/>
        <w:rPr>
          <w:rFonts w:ascii="方正小标宋简体" w:hAnsi="方正小标宋简体" w:eastAsia="方正小标宋简体" w:cs="方正小标宋简体"/>
          <w:sz w:val="24"/>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before="157" w:beforeLines="50" w:line="576" w:lineRule="exact"/>
        <w:jc w:val="center"/>
        <w:textAlignment w:val="auto"/>
        <w:rPr>
          <w:rFonts w:hint="eastAsia" w:ascii="方正小标宋简体" w:hAnsi="方正小标宋简体" w:eastAsia="方正小标宋简体" w:cs="方正小标宋简体"/>
          <w:color w:val="000000"/>
          <w:kern w:val="0"/>
          <w:sz w:val="40"/>
          <w:szCs w:val="40"/>
          <w:lang w:val="zh-CN"/>
        </w:rPr>
      </w:pPr>
      <w:r>
        <w:rPr>
          <w:rFonts w:hint="eastAsia" w:ascii="方正小标宋简体" w:hAnsi="方正小标宋简体" w:eastAsia="方正小标宋简体" w:cs="方正小标宋简体"/>
          <w:color w:val="000000"/>
          <w:kern w:val="0"/>
          <w:sz w:val="40"/>
          <w:szCs w:val="40"/>
          <w:lang w:eastAsia="zh-CN"/>
        </w:rPr>
        <w:t>广元市</w:t>
      </w:r>
      <w:r>
        <w:rPr>
          <w:rFonts w:hint="eastAsia" w:ascii="方正小标宋简体" w:hAnsi="方正小标宋简体" w:eastAsia="方正小标宋简体" w:cs="方正小标宋简体"/>
          <w:color w:val="000000"/>
          <w:kern w:val="0"/>
          <w:sz w:val="40"/>
          <w:szCs w:val="40"/>
        </w:rPr>
        <w:t>妇</w:t>
      </w:r>
      <w:r>
        <w:rPr>
          <w:rFonts w:hint="eastAsia" w:ascii="方正小标宋简体" w:hAnsi="方正小标宋简体" w:eastAsia="方正小标宋简体" w:cs="方正小标宋简体"/>
          <w:color w:val="000000"/>
          <w:kern w:val="0"/>
          <w:sz w:val="40"/>
          <w:szCs w:val="40"/>
          <w:lang w:eastAsia="zh-CN"/>
        </w:rPr>
        <w:t>女</w:t>
      </w:r>
      <w:r>
        <w:rPr>
          <w:rFonts w:hint="eastAsia" w:ascii="方正小标宋简体" w:hAnsi="方正小标宋简体" w:eastAsia="方正小标宋简体" w:cs="方正小标宋简体"/>
          <w:color w:val="000000"/>
          <w:kern w:val="0"/>
          <w:sz w:val="40"/>
          <w:szCs w:val="40"/>
        </w:rPr>
        <w:t>联</w:t>
      </w:r>
      <w:r>
        <w:rPr>
          <w:rFonts w:hint="eastAsia" w:ascii="方正小标宋简体" w:hAnsi="方正小标宋简体" w:eastAsia="方正小标宋简体" w:cs="方正小标宋简体"/>
          <w:color w:val="000000"/>
          <w:kern w:val="0"/>
          <w:sz w:val="40"/>
          <w:szCs w:val="40"/>
          <w:lang w:eastAsia="zh-CN"/>
        </w:rPr>
        <w:t>合会</w:t>
      </w:r>
      <w:r>
        <w:rPr>
          <w:rFonts w:hint="eastAsia" w:ascii="方正小标宋简体" w:hAnsi="方正小标宋简体" w:eastAsia="方正小标宋简体" w:cs="方正小标宋简体"/>
          <w:color w:val="000000"/>
          <w:kern w:val="0"/>
          <w:sz w:val="40"/>
          <w:szCs w:val="40"/>
        </w:rPr>
        <w:t>2019年部门</w:t>
      </w:r>
      <w:r>
        <w:rPr>
          <w:rFonts w:hint="eastAsia" w:ascii="方正小标宋简体" w:hAnsi="方正小标宋简体" w:eastAsia="方正小标宋简体" w:cs="方正小标宋简体"/>
          <w:color w:val="000000"/>
          <w:kern w:val="0"/>
          <w:sz w:val="40"/>
          <w:szCs w:val="40"/>
          <w:lang w:val="zh-CN"/>
        </w:rPr>
        <w:t>整体支出</w:t>
      </w:r>
    </w:p>
    <w:p>
      <w:pPr>
        <w:keepNext w:val="0"/>
        <w:keepLines w:val="0"/>
        <w:pageBreakBefore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color w:val="000000"/>
          <w:kern w:val="0"/>
          <w:sz w:val="40"/>
          <w:szCs w:val="40"/>
          <w:lang w:val="zh-CN"/>
        </w:rPr>
      </w:pPr>
      <w:r>
        <w:rPr>
          <w:rFonts w:hint="eastAsia" w:ascii="方正小标宋简体" w:hAnsi="方正小标宋简体" w:eastAsia="方正小标宋简体" w:cs="方正小标宋简体"/>
          <w:color w:val="000000"/>
          <w:kern w:val="0"/>
          <w:sz w:val="40"/>
          <w:szCs w:val="40"/>
          <w:lang w:val="zh-CN"/>
        </w:rPr>
        <w:t>绩效评价报告</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ascii="黑体" w:hAnsi="宋体" w:eastAsia="黑体" w:cs="宋体"/>
          <w:color w:val="000000"/>
          <w:kern w:val="0"/>
          <w:sz w:val="32"/>
          <w:szCs w:val="32"/>
          <w:shd w:val="clear" w:color="auto" w:fill="FFFFFF"/>
        </w:rPr>
      </w:pP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keepNext w:val="0"/>
        <w:keepLines w:val="0"/>
        <w:pageBreakBefore w:val="0"/>
        <w:widowControl/>
        <w:kinsoku/>
        <w:wordWrap/>
        <w:overflowPunct/>
        <w:topLinePunct w:val="0"/>
        <w:autoSpaceDE/>
        <w:autoSpaceDN/>
        <w:bidi w:val="0"/>
        <w:adjustRightInd w:val="0"/>
        <w:snapToGrid w:val="0"/>
        <w:spacing w:line="576" w:lineRule="exact"/>
        <w:ind w:firstLine="643" w:firstLineChars="200"/>
        <w:contextualSpacing/>
        <w:jc w:val="left"/>
        <w:textAlignment w:val="auto"/>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b/>
          <w:bCs/>
          <w:color w:val="000000"/>
          <w:kern w:val="0"/>
          <w:sz w:val="32"/>
          <w:szCs w:val="32"/>
          <w:shd w:val="clear" w:color="auto" w:fill="FFFFFF"/>
          <w:lang w:val="zh-CN"/>
        </w:rPr>
        <w:t>（一）机构组成</w:t>
      </w:r>
      <w:r>
        <w:rPr>
          <w:rFonts w:hint="eastAsia" w:ascii="仿宋_GB2312" w:hAnsi="宋体" w:eastAsia="仿宋_GB2312" w:cs="宋体"/>
          <w:color w:val="000000"/>
          <w:kern w:val="0"/>
          <w:sz w:val="32"/>
          <w:szCs w:val="32"/>
          <w:shd w:val="clear" w:color="auto" w:fill="FFFFFF"/>
          <w:lang w:val="zh-CN"/>
        </w:rPr>
        <w:t>。</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bCs/>
          <w:color w:val="000000"/>
          <w:kern w:val="0"/>
          <w:sz w:val="32"/>
          <w:szCs w:val="32"/>
        </w:rPr>
        <w:t>广元市妇女联合会为市级直属单位，下属公益一类事业单位1个。</w:t>
      </w:r>
    </w:p>
    <w:p>
      <w:pPr>
        <w:keepNext w:val="0"/>
        <w:keepLines w:val="0"/>
        <w:pageBreakBefore w:val="0"/>
        <w:widowControl/>
        <w:kinsoku/>
        <w:wordWrap/>
        <w:overflowPunct/>
        <w:topLinePunct w:val="0"/>
        <w:autoSpaceDE/>
        <w:autoSpaceDN/>
        <w:bidi w:val="0"/>
        <w:adjustRightInd w:val="0"/>
        <w:snapToGrid w:val="0"/>
        <w:spacing w:line="576" w:lineRule="exact"/>
        <w:ind w:firstLine="643" w:firstLineChars="200"/>
        <w:contextualSpacing/>
        <w:jc w:val="left"/>
        <w:textAlignment w:val="auto"/>
        <w:rPr>
          <w:rFonts w:hint="eastAsia" w:ascii="仿宋_GB2312" w:hAnsi="仿宋_GB2312" w:eastAsia="仿宋_GB2312" w:cs="仿宋_GB2312"/>
          <w:b/>
          <w:bCs w:val="0"/>
          <w:color w:val="000000"/>
          <w:kern w:val="0"/>
          <w:sz w:val="32"/>
          <w:szCs w:val="32"/>
          <w:lang w:val="zh-CN"/>
        </w:rPr>
      </w:pPr>
      <w:r>
        <w:rPr>
          <w:rFonts w:hint="eastAsia" w:ascii="仿宋_GB2312" w:hAnsi="仿宋_GB2312" w:eastAsia="仿宋_GB2312" w:cs="仿宋_GB2312"/>
          <w:b/>
          <w:bCs w:val="0"/>
          <w:color w:val="000000"/>
          <w:kern w:val="0"/>
          <w:sz w:val="32"/>
          <w:szCs w:val="32"/>
          <w:lang w:val="zh-CN"/>
        </w:rPr>
        <w:t>（二）机构职能。</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（1）根据党的中心任务，指导各级妇联依据《中华全国妇女联合会章程))和妇女代表大会的决议，开展妇女儿童工作；联系团体会员，并给予业务指导。</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（2）调查研究我市不同地区妇女儿童的情况、问题及时向市委、市政府反映，提出建议。</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（3）指导和推动全市农村妇女的“双学双赛”活动及城镇妇女的“巾帼建功”活动。</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（4）指导各级妇联的宣传舆论工作，教育、引导广大妇女增强自尊、自信、自立、自强的精神，表彰各行各业先进妇女，开展妇女职业技术培训和多层次的妇女干部培训，全面提高素质，促进妇女人才成长。</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（6）代表妇女参与国家和社会事务的民主管理，民主监督，促进妇女参政议政，贯彻执行有关妇女儿童法律、法规，参与制定有关规章制度，维护妇女儿童的合法权益：</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（7）为妇女儿童服务。加强与诖会各界的联系，协调和推动社会各界为妇女儿童办好事、办实事。</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（8）建立与各族各界妇女的联系．巩固妇女的大团结。积极开展同港澳台地区及华侨妇女的联谊，促进祖国统一大业，发展同世界各国妇女的友好交往，增进友谊、加强合作。</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（9）负责机关和本系统的精神文明建设以及党风廉政建设。</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（10）承担市政府妇女儿童工作委员会的日常工作。承办市委市政府交办的其它事项。</w:t>
      </w:r>
    </w:p>
    <w:p>
      <w:pPr>
        <w:keepNext w:val="0"/>
        <w:keepLines w:val="0"/>
        <w:pageBreakBefore w:val="0"/>
        <w:widowControl/>
        <w:kinsoku/>
        <w:wordWrap/>
        <w:overflowPunct/>
        <w:topLinePunct w:val="0"/>
        <w:autoSpaceDE/>
        <w:autoSpaceDN/>
        <w:bidi w:val="0"/>
        <w:adjustRightInd w:val="0"/>
        <w:snapToGrid w:val="0"/>
        <w:spacing w:line="576" w:lineRule="exact"/>
        <w:ind w:firstLine="643" w:firstLineChars="200"/>
        <w:contextualSpacing/>
        <w:jc w:val="left"/>
        <w:textAlignment w:val="auto"/>
        <w:rPr>
          <w:rFonts w:hint="eastAsia" w:ascii="仿宋_GB2312" w:hAnsi="仿宋_GB2312" w:eastAsia="仿宋_GB2312" w:cs="仿宋_GB2312"/>
          <w:b/>
          <w:bCs w:val="0"/>
          <w:color w:val="000000"/>
          <w:kern w:val="0"/>
          <w:sz w:val="32"/>
          <w:szCs w:val="32"/>
          <w:lang w:val="zh-CN"/>
        </w:rPr>
      </w:pPr>
      <w:r>
        <w:rPr>
          <w:rFonts w:hint="eastAsia" w:ascii="仿宋_GB2312" w:hAnsi="仿宋_GB2312" w:eastAsia="仿宋_GB2312" w:cs="仿宋_GB2312"/>
          <w:b/>
          <w:bCs w:val="0"/>
          <w:color w:val="000000"/>
          <w:kern w:val="0"/>
          <w:sz w:val="32"/>
          <w:szCs w:val="32"/>
          <w:lang w:val="zh-CN"/>
        </w:rPr>
        <w:t>（三）人员概况。</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bCs/>
          <w:color w:val="000000"/>
          <w:kern w:val="0"/>
          <w:sz w:val="32"/>
          <w:szCs w:val="32"/>
          <w:lang w:val="zh-CN"/>
        </w:rPr>
      </w:pPr>
      <w:r>
        <w:rPr>
          <w:rFonts w:hint="eastAsia" w:ascii="仿宋_GB2312" w:hAnsi="仿宋_GB2312" w:eastAsia="仿宋_GB2312" w:cs="仿宋_GB2312"/>
          <w:bCs/>
          <w:color w:val="000000"/>
          <w:kern w:val="0"/>
          <w:sz w:val="32"/>
          <w:szCs w:val="32"/>
        </w:rPr>
        <w:t>市妇联机关行政编制10名（含市政府妇女儿童工作委员会办公室编制）。其中：主席1名，副主席2名，科级领导职数6名。机关工勤人员事业编制2名。</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keepNext w:val="0"/>
        <w:keepLines w:val="0"/>
        <w:pageBreakBefore w:val="0"/>
        <w:widowControl/>
        <w:kinsoku/>
        <w:wordWrap/>
        <w:overflowPunct/>
        <w:topLinePunct w:val="0"/>
        <w:autoSpaceDE/>
        <w:autoSpaceDN/>
        <w:bidi w:val="0"/>
        <w:adjustRightInd w:val="0"/>
        <w:snapToGrid w:val="0"/>
        <w:spacing w:line="576" w:lineRule="exact"/>
        <w:ind w:firstLine="643" w:firstLineChars="200"/>
        <w:contextualSpacing/>
        <w:jc w:val="left"/>
        <w:textAlignment w:val="auto"/>
        <w:rPr>
          <w:rFonts w:hint="eastAsia" w:ascii="仿宋_GB2312" w:hAnsi="仿宋_GB2312" w:eastAsia="仿宋_GB2312" w:cs="仿宋_GB2312"/>
          <w:b/>
          <w:bCs w:val="0"/>
          <w:color w:val="000000"/>
          <w:kern w:val="0"/>
          <w:sz w:val="32"/>
          <w:szCs w:val="32"/>
          <w:lang w:val="zh-CN"/>
        </w:rPr>
      </w:pPr>
      <w:r>
        <w:rPr>
          <w:rFonts w:hint="eastAsia" w:ascii="仿宋_GB2312" w:hAnsi="仿宋_GB2312" w:eastAsia="仿宋_GB2312" w:cs="仿宋_GB2312"/>
          <w:b/>
          <w:bCs w:val="0"/>
          <w:color w:val="000000"/>
          <w:kern w:val="0"/>
          <w:sz w:val="32"/>
          <w:szCs w:val="32"/>
          <w:lang w:val="zh-CN"/>
        </w:rPr>
        <w:t>（一）部门财政资金收入情况。</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bCs/>
          <w:color w:val="000000"/>
          <w:kern w:val="0"/>
          <w:sz w:val="32"/>
          <w:szCs w:val="32"/>
          <w:lang w:val="zh-CN"/>
        </w:rPr>
      </w:pPr>
      <w:r>
        <w:rPr>
          <w:rFonts w:hint="eastAsia" w:ascii="仿宋_GB2312" w:hAnsi="仿宋_GB2312" w:eastAsia="仿宋_GB2312" w:cs="仿宋_GB2312"/>
          <w:bCs/>
          <w:color w:val="000000"/>
          <w:kern w:val="0"/>
          <w:sz w:val="32"/>
          <w:szCs w:val="32"/>
          <w:lang w:val="zh-CN"/>
        </w:rPr>
        <w:t>2019年本年收入合计418.352万元，其中：一般公共预算财政拨款收入418.35万元，占100%；政府性基金预算财政拨款收入0万元，占0%；上级补助收入0万元，占0%；事业收入0万元，占0%；经营收入0万元，占0%；附属单位上缴收入0万元，占0%；其他收入0万元，占0%。</w:t>
      </w:r>
    </w:p>
    <w:p>
      <w:pPr>
        <w:keepNext w:val="0"/>
        <w:keepLines w:val="0"/>
        <w:pageBreakBefore w:val="0"/>
        <w:widowControl/>
        <w:kinsoku/>
        <w:wordWrap/>
        <w:overflowPunct/>
        <w:topLinePunct w:val="0"/>
        <w:autoSpaceDE/>
        <w:autoSpaceDN/>
        <w:bidi w:val="0"/>
        <w:adjustRightInd w:val="0"/>
        <w:snapToGrid w:val="0"/>
        <w:spacing w:line="576" w:lineRule="exact"/>
        <w:ind w:firstLine="643" w:firstLineChars="200"/>
        <w:contextualSpacing/>
        <w:jc w:val="left"/>
        <w:textAlignment w:val="auto"/>
        <w:rPr>
          <w:rFonts w:hint="eastAsia" w:ascii="仿宋_GB2312" w:hAnsi="仿宋_GB2312" w:eastAsia="仿宋_GB2312" w:cs="仿宋_GB2312"/>
          <w:b/>
          <w:bCs w:val="0"/>
          <w:color w:val="000000"/>
          <w:kern w:val="0"/>
          <w:sz w:val="32"/>
          <w:szCs w:val="32"/>
          <w:lang w:val="zh-CN"/>
        </w:rPr>
      </w:pPr>
      <w:r>
        <w:rPr>
          <w:rFonts w:hint="eastAsia" w:ascii="仿宋_GB2312" w:hAnsi="仿宋_GB2312" w:eastAsia="仿宋_GB2312" w:cs="仿宋_GB2312"/>
          <w:b/>
          <w:bCs w:val="0"/>
          <w:color w:val="000000"/>
          <w:kern w:val="0"/>
          <w:sz w:val="32"/>
          <w:szCs w:val="32"/>
          <w:lang w:val="zh-CN"/>
        </w:rPr>
        <w:t>（二）部门财政资金支出情况。</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bCs/>
          <w:color w:val="000000"/>
          <w:kern w:val="0"/>
          <w:sz w:val="32"/>
          <w:szCs w:val="32"/>
          <w:lang w:val="zh-CN"/>
        </w:rPr>
      </w:pPr>
      <w:r>
        <w:rPr>
          <w:rFonts w:hint="eastAsia" w:ascii="仿宋_GB2312" w:hAnsi="仿宋_GB2312" w:eastAsia="仿宋_GB2312" w:cs="仿宋_GB2312"/>
          <w:bCs/>
          <w:color w:val="000000"/>
          <w:kern w:val="0"/>
          <w:sz w:val="32"/>
          <w:szCs w:val="32"/>
          <w:lang w:val="zh-CN"/>
        </w:rPr>
        <w:t>2019年本年支出合计437.7万元，其中：基本支出258.43万元，占59.05%；项目支出179.27万元，占40.95%；上缴上级支出0万元，占0%；经营支出0万元，占0%；对附属单位补助支出0万元，占0%。</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keepNext w:val="0"/>
        <w:keepLines w:val="0"/>
        <w:pageBreakBefore w:val="0"/>
        <w:widowControl/>
        <w:kinsoku/>
        <w:wordWrap/>
        <w:overflowPunct/>
        <w:topLinePunct w:val="0"/>
        <w:autoSpaceDE/>
        <w:autoSpaceDN/>
        <w:bidi w:val="0"/>
        <w:adjustRightInd w:val="0"/>
        <w:snapToGrid w:val="0"/>
        <w:spacing w:line="576" w:lineRule="exact"/>
        <w:ind w:firstLine="643" w:firstLineChars="200"/>
        <w:contextualSpacing/>
        <w:jc w:val="left"/>
        <w:textAlignment w:val="auto"/>
        <w:rPr>
          <w:rFonts w:hint="eastAsia" w:ascii="仿宋_GB2312" w:hAnsi="仿宋_GB2312" w:eastAsia="仿宋_GB2312" w:cs="仿宋_GB2312"/>
          <w:b/>
          <w:bCs w:val="0"/>
          <w:color w:val="000000"/>
          <w:kern w:val="0"/>
          <w:sz w:val="32"/>
          <w:szCs w:val="32"/>
          <w:lang w:val="zh-CN"/>
        </w:rPr>
      </w:pPr>
      <w:r>
        <w:rPr>
          <w:rFonts w:hint="eastAsia" w:ascii="仿宋_GB2312" w:hAnsi="仿宋_GB2312" w:eastAsia="仿宋_GB2312" w:cs="仿宋_GB2312"/>
          <w:b/>
          <w:bCs w:val="0"/>
          <w:color w:val="000000"/>
          <w:kern w:val="0"/>
          <w:sz w:val="32"/>
          <w:szCs w:val="32"/>
          <w:lang w:val="zh-CN"/>
        </w:rPr>
        <w:t>（一）部门预算管理。</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bCs/>
          <w:color w:val="000000"/>
          <w:kern w:val="0"/>
          <w:sz w:val="32"/>
          <w:szCs w:val="32"/>
          <w:lang w:val="zh-CN"/>
        </w:rPr>
      </w:pPr>
      <w:r>
        <w:rPr>
          <w:rFonts w:hint="eastAsia" w:ascii="仿宋_GB2312" w:hAnsi="仿宋_GB2312" w:eastAsia="仿宋_GB2312" w:cs="仿宋_GB2312"/>
          <w:bCs/>
          <w:color w:val="000000"/>
          <w:kern w:val="0"/>
          <w:sz w:val="32"/>
          <w:szCs w:val="32"/>
          <w:lang w:val="zh-CN"/>
        </w:rPr>
        <w:t>按照“统计领导，分级管理；积极试点，稳步推进，程序规范，重点实施，客观公正”的原则宣传绩效理念，培养绩效文化；基本构建“预算绩效有目标、构建绩效有计划、预算执行有监控，预算完成有评价，评价结果有反馈，反馈结果有应用”的预算绩效管理机制，有效提高财政资金使用绩效的提高。</w:t>
      </w:r>
    </w:p>
    <w:p>
      <w:pPr>
        <w:keepNext w:val="0"/>
        <w:keepLines w:val="0"/>
        <w:pageBreakBefore w:val="0"/>
        <w:widowControl/>
        <w:kinsoku/>
        <w:wordWrap/>
        <w:overflowPunct/>
        <w:topLinePunct w:val="0"/>
        <w:autoSpaceDE/>
        <w:autoSpaceDN/>
        <w:bidi w:val="0"/>
        <w:adjustRightInd w:val="0"/>
        <w:snapToGrid w:val="0"/>
        <w:spacing w:line="576" w:lineRule="exact"/>
        <w:ind w:firstLine="643" w:firstLineChars="200"/>
        <w:contextualSpacing/>
        <w:jc w:val="left"/>
        <w:textAlignment w:val="auto"/>
        <w:rPr>
          <w:rFonts w:hint="eastAsia" w:ascii="仿宋_GB2312" w:hAnsi="仿宋_GB2312" w:eastAsia="仿宋_GB2312" w:cs="仿宋_GB2312"/>
          <w:b/>
          <w:bCs w:val="0"/>
          <w:color w:val="000000"/>
          <w:kern w:val="0"/>
          <w:sz w:val="32"/>
          <w:szCs w:val="32"/>
          <w:lang w:val="zh-CN"/>
        </w:rPr>
      </w:pPr>
      <w:r>
        <w:rPr>
          <w:rFonts w:hint="eastAsia" w:ascii="仿宋_GB2312" w:hAnsi="仿宋_GB2312" w:eastAsia="仿宋_GB2312" w:cs="仿宋_GB2312"/>
          <w:b/>
          <w:bCs w:val="0"/>
          <w:color w:val="000000"/>
          <w:kern w:val="0"/>
          <w:sz w:val="32"/>
          <w:szCs w:val="32"/>
          <w:lang w:val="zh-CN"/>
        </w:rPr>
        <w:t>（二）结果应用情况。</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bCs/>
          <w:color w:val="000000"/>
          <w:kern w:val="0"/>
          <w:sz w:val="32"/>
          <w:szCs w:val="32"/>
          <w:lang w:val="zh-CN"/>
        </w:rPr>
      </w:pPr>
      <w:r>
        <w:rPr>
          <w:rFonts w:hint="eastAsia" w:ascii="仿宋_GB2312" w:hAnsi="仿宋_GB2312" w:eastAsia="仿宋_GB2312" w:cs="仿宋_GB2312"/>
          <w:bCs/>
          <w:color w:val="000000"/>
          <w:kern w:val="0"/>
          <w:sz w:val="32"/>
          <w:szCs w:val="32"/>
          <w:lang w:val="zh-CN"/>
        </w:rPr>
        <w:t>1、2019年度我部门严格预算支出管理，在支出预算编制上，人员经费按照配置定额，逐人核定编制，公用经费分类分档，按定额编制；根据“总量控制、计划管理”的要求从严控制行政经费，压缩公务费开支，严格控制“三公”经费，资产的配置严格政府采购，按照预算科目和项目资金的规定使用财政资金，保障部门整体支出的规范化、制度化。</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bCs/>
          <w:color w:val="000000"/>
          <w:kern w:val="0"/>
          <w:sz w:val="32"/>
          <w:szCs w:val="32"/>
          <w:lang w:val="zh-CN"/>
        </w:rPr>
      </w:pPr>
      <w:r>
        <w:rPr>
          <w:rFonts w:hint="eastAsia" w:ascii="仿宋_GB2312" w:hAnsi="仿宋_GB2312" w:eastAsia="仿宋_GB2312" w:cs="仿宋_GB2312"/>
          <w:bCs/>
          <w:color w:val="000000"/>
          <w:kern w:val="0"/>
          <w:sz w:val="32"/>
          <w:szCs w:val="32"/>
          <w:lang w:val="zh-CN"/>
        </w:rPr>
        <w:t>2、财务管理上，按照国家相关法律法规，制定了机关财务、公物购置使用、接待、会务、差旅等管理制度，并严格按照制度管理和执行，防范风险，保证财政资金的安全和高效运行。</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四、评价结论及建议</w:t>
      </w:r>
    </w:p>
    <w:p>
      <w:pPr>
        <w:keepNext w:val="0"/>
        <w:keepLines w:val="0"/>
        <w:pageBreakBefore w:val="0"/>
        <w:widowControl/>
        <w:kinsoku/>
        <w:wordWrap/>
        <w:overflowPunct/>
        <w:topLinePunct w:val="0"/>
        <w:autoSpaceDE/>
        <w:autoSpaceDN/>
        <w:bidi w:val="0"/>
        <w:adjustRightInd w:val="0"/>
        <w:snapToGrid w:val="0"/>
        <w:spacing w:line="576" w:lineRule="exact"/>
        <w:ind w:firstLine="643" w:firstLineChars="200"/>
        <w:contextualSpacing/>
        <w:jc w:val="left"/>
        <w:textAlignment w:val="auto"/>
        <w:rPr>
          <w:rFonts w:hint="eastAsia" w:ascii="仿宋_GB2312" w:hAnsi="仿宋_GB2312" w:eastAsia="仿宋_GB2312" w:cs="仿宋_GB2312"/>
          <w:b/>
          <w:bCs w:val="0"/>
          <w:color w:val="000000"/>
          <w:kern w:val="0"/>
          <w:sz w:val="32"/>
          <w:szCs w:val="32"/>
          <w:lang w:val="zh-CN"/>
        </w:rPr>
      </w:pPr>
      <w:r>
        <w:rPr>
          <w:rFonts w:hint="eastAsia" w:ascii="仿宋_GB2312" w:hAnsi="仿宋_GB2312" w:eastAsia="仿宋_GB2312" w:cs="仿宋_GB2312"/>
          <w:b/>
          <w:bCs w:val="0"/>
          <w:color w:val="000000"/>
          <w:kern w:val="0"/>
          <w:sz w:val="32"/>
          <w:szCs w:val="32"/>
          <w:lang w:val="zh-CN"/>
        </w:rPr>
        <w:t>（一）评价结论。</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bCs/>
          <w:color w:val="000000"/>
          <w:kern w:val="0"/>
          <w:sz w:val="32"/>
          <w:szCs w:val="32"/>
          <w:lang w:val="zh-CN"/>
        </w:rPr>
      </w:pPr>
      <w:r>
        <w:rPr>
          <w:rFonts w:hint="eastAsia" w:ascii="仿宋_GB2312" w:hAnsi="仿宋_GB2312" w:eastAsia="仿宋_GB2312" w:cs="仿宋_GB2312"/>
          <w:bCs/>
          <w:color w:val="000000"/>
          <w:kern w:val="0"/>
          <w:sz w:val="32"/>
          <w:szCs w:val="32"/>
          <w:lang w:val="zh-CN"/>
        </w:rPr>
        <w:t>我单位成立了预算绩效评价工作小组，明确熟悉财务工作的同志具体负责绩效评价工作，各办公室密切配合，根据考核评分细则，我单位2019年整体支出，严格按照国家的相关财务管理制度规定，财务制度健全、会计核算规范，依照计划管理使用，妇联的整体支出对妇联工作的正常运行、贯彻执行党和国家方针、政策、法律法规，发挥了重要作用。强化部门的责任，妇联业务工作取得了一定的成绩，为确保全市社会稳定，提供了优质保障。按照部门整体支出绩效评价指标体系对照打分得出结果为98分，等级为优秀。</w:t>
      </w:r>
    </w:p>
    <w:p>
      <w:pPr>
        <w:keepNext w:val="0"/>
        <w:keepLines w:val="0"/>
        <w:pageBreakBefore w:val="0"/>
        <w:widowControl/>
        <w:kinsoku/>
        <w:wordWrap/>
        <w:overflowPunct/>
        <w:topLinePunct w:val="0"/>
        <w:autoSpaceDE/>
        <w:autoSpaceDN/>
        <w:bidi w:val="0"/>
        <w:adjustRightInd w:val="0"/>
        <w:snapToGrid w:val="0"/>
        <w:spacing w:line="576" w:lineRule="exact"/>
        <w:ind w:firstLine="643" w:firstLineChars="200"/>
        <w:contextualSpacing/>
        <w:jc w:val="left"/>
        <w:textAlignment w:val="auto"/>
        <w:rPr>
          <w:rFonts w:hint="eastAsia" w:ascii="仿宋_GB2312" w:hAnsi="仿宋_GB2312" w:eastAsia="仿宋_GB2312" w:cs="仿宋_GB2312"/>
          <w:b/>
          <w:bCs w:val="0"/>
          <w:color w:val="000000"/>
          <w:kern w:val="0"/>
          <w:sz w:val="32"/>
          <w:szCs w:val="32"/>
          <w:lang w:val="zh-CN"/>
        </w:rPr>
      </w:pPr>
      <w:r>
        <w:rPr>
          <w:rFonts w:hint="eastAsia" w:ascii="仿宋_GB2312" w:hAnsi="仿宋_GB2312" w:eastAsia="仿宋_GB2312" w:cs="仿宋_GB2312"/>
          <w:b/>
          <w:bCs w:val="0"/>
          <w:color w:val="000000"/>
          <w:kern w:val="0"/>
          <w:sz w:val="32"/>
          <w:szCs w:val="32"/>
          <w:lang w:val="zh-CN"/>
        </w:rPr>
        <w:t>（二）存在问题。</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bCs/>
          <w:color w:val="000000"/>
          <w:kern w:val="0"/>
          <w:sz w:val="32"/>
          <w:szCs w:val="32"/>
          <w:lang w:val="zh-CN"/>
        </w:rPr>
      </w:pPr>
      <w:r>
        <w:rPr>
          <w:rFonts w:hint="eastAsia" w:ascii="仿宋_GB2312" w:hAnsi="仿宋_GB2312" w:eastAsia="仿宋_GB2312" w:cs="仿宋_GB2312"/>
          <w:bCs/>
          <w:color w:val="000000"/>
          <w:kern w:val="0"/>
          <w:sz w:val="32"/>
          <w:szCs w:val="32"/>
          <w:lang w:val="zh-CN"/>
        </w:rPr>
        <w:t>1、妇干履职上专业性不够强，在工作思路上缺乏创新；</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bCs/>
          <w:color w:val="000000"/>
          <w:kern w:val="0"/>
          <w:sz w:val="32"/>
          <w:szCs w:val="32"/>
          <w:lang w:val="zh-CN"/>
        </w:rPr>
      </w:pPr>
      <w:r>
        <w:rPr>
          <w:rFonts w:hint="eastAsia" w:ascii="仿宋_GB2312" w:hAnsi="仿宋_GB2312" w:eastAsia="仿宋_GB2312" w:cs="仿宋_GB2312"/>
          <w:bCs/>
          <w:color w:val="000000"/>
          <w:kern w:val="0"/>
          <w:sz w:val="32"/>
          <w:szCs w:val="32"/>
          <w:lang w:val="zh-CN"/>
        </w:rPr>
        <w:t>2、基层妇联干部人员力量有待加强；</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bCs/>
          <w:color w:val="000000"/>
          <w:kern w:val="0"/>
          <w:sz w:val="32"/>
          <w:szCs w:val="32"/>
          <w:lang w:val="zh-CN"/>
        </w:rPr>
      </w:pPr>
      <w:r>
        <w:rPr>
          <w:rFonts w:hint="eastAsia" w:ascii="仿宋_GB2312" w:hAnsi="仿宋_GB2312" w:eastAsia="仿宋_GB2312" w:cs="仿宋_GB2312"/>
          <w:bCs/>
          <w:color w:val="000000"/>
          <w:kern w:val="0"/>
          <w:sz w:val="32"/>
          <w:szCs w:val="32"/>
          <w:lang w:val="zh-CN"/>
        </w:rPr>
        <w:t>3、妇联基层组织覆盖有待提升</w:t>
      </w:r>
    </w:p>
    <w:p>
      <w:pPr>
        <w:keepNext w:val="0"/>
        <w:keepLines w:val="0"/>
        <w:pageBreakBefore w:val="0"/>
        <w:widowControl/>
        <w:kinsoku/>
        <w:wordWrap/>
        <w:overflowPunct/>
        <w:topLinePunct w:val="0"/>
        <w:autoSpaceDE/>
        <w:autoSpaceDN/>
        <w:bidi w:val="0"/>
        <w:adjustRightInd w:val="0"/>
        <w:snapToGrid w:val="0"/>
        <w:spacing w:line="576" w:lineRule="exact"/>
        <w:ind w:firstLine="643" w:firstLineChars="200"/>
        <w:contextualSpacing/>
        <w:jc w:val="left"/>
        <w:textAlignment w:val="auto"/>
        <w:rPr>
          <w:rFonts w:hint="eastAsia" w:ascii="仿宋_GB2312" w:hAnsi="仿宋_GB2312" w:eastAsia="仿宋_GB2312" w:cs="仿宋_GB2312"/>
          <w:b/>
          <w:bCs w:val="0"/>
          <w:color w:val="000000"/>
          <w:kern w:val="0"/>
          <w:sz w:val="32"/>
          <w:szCs w:val="32"/>
          <w:lang w:val="zh-CN"/>
        </w:rPr>
      </w:pPr>
      <w:r>
        <w:rPr>
          <w:rFonts w:hint="eastAsia" w:ascii="仿宋_GB2312" w:hAnsi="仿宋_GB2312" w:eastAsia="仿宋_GB2312" w:cs="仿宋_GB2312"/>
          <w:b/>
          <w:bCs w:val="0"/>
          <w:color w:val="000000"/>
          <w:kern w:val="0"/>
          <w:sz w:val="32"/>
          <w:szCs w:val="32"/>
          <w:lang w:val="zh-CN"/>
        </w:rPr>
        <w:t>（三）改进建议。</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加强对妇女发展规划的落实督促检查并将该项任务列入工作目标任务，对待妇女发展的重点难点问题上，加强部门沟通，加强人力、物力、财力的倾斜；加强教育全面提升妇女的素质；加强培养，切实加强妇女参政议政的水平；加强维权工作，确实保障妇女的合法权益，加强《妇女权益保护法》的宣传等</w:t>
      </w:r>
    </w:p>
    <w:p>
      <w:pPr>
        <w:keepNext w:val="0"/>
        <w:keepLines w:val="0"/>
        <w:pageBreakBefore w:val="0"/>
        <w:kinsoku/>
        <w:wordWrap/>
        <w:overflowPunct/>
        <w:topLinePunct w:val="0"/>
        <w:autoSpaceDE/>
        <w:autoSpaceDN/>
        <w:bidi w:val="0"/>
        <w:spacing w:line="576" w:lineRule="exact"/>
        <w:ind w:firstLine="640" w:firstLineChars="200"/>
        <w:textAlignment w:val="auto"/>
        <w:rPr>
          <w:rFonts w:ascii="仿宋_GB2312" w:hAnsi="仿宋_GB2312" w:eastAsia="仿宋_GB2312" w:cs="仿宋_GB2312"/>
          <w:sz w:val="32"/>
          <w:szCs w:val="32"/>
        </w:rPr>
      </w:pPr>
    </w:p>
    <w:p>
      <w:pPr>
        <w:spacing w:line="360" w:lineRule="auto"/>
        <w:jc w:val="both"/>
        <w:outlineLvl w:val="0"/>
        <w:rPr>
          <w:rStyle w:val="31"/>
          <w:rFonts w:ascii="黑体" w:hAnsi="黑体" w:eastAsia="黑体"/>
          <w:b w:val="0"/>
          <w:sz w:val="24"/>
          <w:szCs w:val="24"/>
        </w:rPr>
      </w:pPr>
    </w:p>
    <w:p>
      <w:pPr>
        <w:pageBreakBefore w:val="0"/>
        <w:widowControl w:val="0"/>
        <w:kinsoku/>
        <w:wordWrap/>
        <w:overflowPunct/>
        <w:topLinePunct w:val="0"/>
        <w:autoSpaceDE/>
        <w:autoSpaceDN/>
        <w:bidi w:val="0"/>
        <w:adjustRightInd/>
        <w:snapToGrid/>
        <w:spacing w:line="576" w:lineRule="exact"/>
        <w:jc w:val="center"/>
        <w:textAlignment w:val="auto"/>
        <w:outlineLvl w:val="0"/>
        <w:rPr>
          <w:rStyle w:val="31"/>
          <w:rFonts w:ascii="黑体" w:hAnsi="黑体" w:eastAsia="黑体"/>
          <w:b w:val="0"/>
          <w:sz w:val="32"/>
          <w:szCs w:val="32"/>
        </w:rPr>
      </w:pPr>
      <w:bookmarkStart w:id="59" w:name="_Toc15396618"/>
      <w:r>
        <w:rPr>
          <w:rFonts w:hint="eastAsia" w:ascii="黑体" w:hAnsi="黑体" w:eastAsia="黑体"/>
          <w:color w:val="000000"/>
          <w:sz w:val="32"/>
          <w:szCs w:val="32"/>
        </w:rPr>
        <w:t>第</w:t>
      </w:r>
      <w:r>
        <w:rPr>
          <w:rStyle w:val="31"/>
          <w:rFonts w:hint="eastAsia" w:ascii="黑体" w:hAnsi="黑体" w:eastAsia="黑体"/>
          <w:b w:val="0"/>
          <w:sz w:val="32"/>
          <w:szCs w:val="32"/>
        </w:rPr>
        <w:t>五部分 附表</w:t>
      </w:r>
      <w:bookmarkEnd w:id="58"/>
      <w:bookmarkEnd w:id="59"/>
    </w:p>
    <w:p>
      <w:pPr>
        <w:pageBreakBefore w:val="0"/>
        <w:widowControl w:val="0"/>
        <w:kinsoku/>
        <w:wordWrap/>
        <w:overflowPunct/>
        <w:topLinePunct w:val="0"/>
        <w:autoSpaceDE/>
        <w:autoSpaceDN/>
        <w:bidi w:val="0"/>
        <w:adjustRightInd/>
        <w:snapToGrid/>
        <w:spacing w:line="576" w:lineRule="exact"/>
        <w:jc w:val="center"/>
        <w:textAlignment w:val="auto"/>
        <w:outlineLvl w:val="0"/>
        <w:rPr>
          <w:rFonts w:ascii="仿宋" w:hAnsi="仿宋" w:eastAsia="仿宋"/>
          <w:b/>
          <w:color w:val="000000"/>
          <w:sz w:val="32"/>
          <w:szCs w:val="32"/>
        </w:rPr>
      </w:pPr>
    </w:p>
    <w:p>
      <w:pPr>
        <w:pStyle w:val="3"/>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000000"/>
          <w:sz w:val="32"/>
          <w:szCs w:val="32"/>
        </w:rPr>
      </w:pPr>
      <w:bookmarkStart w:id="60" w:name="_Toc15396619"/>
      <w:r>
        <w:rPr>
          <w:rFonts w:hint="eastAsia" w:ascii="仿宋_GB2312" w:hAnsi="仿宋_GB2312" w:eastAsia="仿宋_GB2312" w:cs="仿宋_GB2312"/>
          <w:b w:val="0"/>
          <w:color w:val="000000"/>
          <w:sz w:val="32"/>
          <w:szCs w:val="32"/>
        </w:rPr>
        <w:t>一、收</w:t>
      </w:r>
      <w:r>
        <w:rPr>
          <w:rStyle w:val="32"/>
          <w:rFonts w:hint="eastAsia" w:ascii="仿宋_GB2312" w:hAnsi="仿宋_GB2312" w:eastAsia="仿宋_GB2312" w:cs="仿宋_GB2312"/>
          <w:b w:val="0"/>
          <w:bCs w:val="0"/>
          <w:sz w:val="32"/>
          <w:szCs w:val="32"/>
        </w:rPr>
        <w:t>入支出决算总表</w:t>
      </w:r>
      <w:bookmarkEnd w:id="60"/>
    </w:p>
    <w:p>
      <w:pPr>
        <w:pStyle w:val="3"/>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000000"/>
          <w:sz w:val="32"/>
          <w:szCs w:val="32"/>
        </w:rPr>
      </w:pPr>
      <w:bookmarkStart w:id="61" w:name="_Toc15396620"/>
      <w:r>
        <w:rPr>
          <w:rFonts w:hint="eastAsia" w:ascii="仿宋_GB2312" w:hAnsi="仿宋_GB2312" w:eastAsia="仿宋_GB2312" w:cs="仿宋_GB2312"/>
          <w:b w:val="0"/>
          <w:color w:val="000000"/>
          <w:sz w:val="32"/>
          <w:szCs w:val="32"/>
        </w:rPr>
        <w:t>二、收</w:t>
      </w:r>
      <w:r>
        <w:rPr>
          <w:rStyle w:val="32"/>
          <w:rFonts w:hint="eastAsia" w:ascii="仿宋_GB2312" w:hAnsi="仿宋_GB2312" w:eastAsia="仿宋_GB2312" w:cs="仿宋_GB2312"/>
          <w:b w:val="0"/>
          <w:bCs w:val="0"/>
          <w:sz w:val="32"/>
          <w:szCs w:val="32"/>
        </w:rPr>
        <w:t>入决算表</w:t>
      </w:r>
      <w:bookmarkEnd w:id="61"/>
    </w:p>
    <w:p>
      <w:pPr>
        <w:pStyle w:val="3"/>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000000"/>
          <w:sz w:val="32"/>
          <w:szCs w:val="32"/>
        </w:rPr>
      </w:pPr>
      <w:bookmarkStart w:id="62" w:name="_Toc15396621"/>
      <w:r>
        <w:rPr>
          <w:rStyle w:val="32"/>
          <w:rFonts w:hint="eastAsia" w:ascii="仿宋_GB2312" w:hAnsi="仿宋_GB2312" w:eastAsia="仿宋_GB2312" w:cs="仿宋_GB2312"/>
          <w:b w:val="0"/>
          <w:bCs w:val="0"/>
          <w:sz w:val="32"/>
          <w:szCs w:val="32"/>
        </w:rPr>
        <w:t>三、</w:t>
      </w:r>
      <w:r>
        <w:rPr>
          <w:rFonts w:hint="eastAsia" w:ascii="仿宋_GB2312" w:hAnsi="仿宋_GB2312" w:eastAsia="仿宋_GB2312" w:cs="仿宋_GB2312"/>
          <w:b w:val="0"/>
          <w:color w:val="000000"/>
          <w:sz w:val="32"/>
          <w:szCs w:val="32"/>
        </w:rPr>
        <w:t>支</w:t>
      </w:r>
      <w:r>
        <w:rPr>
          <w:rStyle w:val="32"/>
          <w:rFonts w:hint="eastAsia" w:ascii="仿宋_GB2312" w:hAnsi="仿宋_GB2312" w:eastAsia="仿宋_GB2312" w:cs="仿宋_GB2312"/>
          <w:b w:val="0"/>
          <w:bCs w:val="0"/>
          <w:sz w:val="32"/>
          <w:szCs w:val="32"/>
        </w:rPr>
        <w:t>出决算表</w:t>
      </w:r>
      <w:bookmarkEnd w:id="62"/>
    </w:p>
    <w:p>
      <w:pPr>
        <w:pStyle w:val="3"/>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b w:val="0"/>
          <w:color w:val="000000"/>
          <w:sz w:val="32"/>
          <w:szCs w:val="32"/>
        </w:rPr>
      </w:pPr>
      <w:bookmarkStart w:id="63" w:name="_Toc15396622"/>
      <w:r>
        <w:rPr>
          <w:rStyle w:val="32"/>
          <w:rFonts w:hint="eastAsia" w:ascii="仿宋_GB2312" w:hAnsi="仿宋_GB2312" w:eastAsia="仿宋_GB2312" w:cs="仿宋_GB2312"/>
          <w:b w:val="0"/>
          <w:bCs w:val="0"/>
          <w:sz w:val="32"/>
          <w:szCs w:val="32"/>
        </w:rPr>
        <w:t>四、</w:t>
      </w:r>
      <w:r>
        <w:rPr>
          <w:rFonts w:hint="eastAsia" w:ascii="仿宋_GB2312" w:hAnsi="仿宋_GB2312" w:eastAsia="仿宋_GB2312" w:cs="仿宋_GB2312"/>
          <w:b w:val="0"/>
          <w:color w:val="000000"/>
          <w:sz w:val="32"/>
          <w:szCs w:val="32"/>
        </w:rPr>
        <w:t>财</w:t>
      </w:r>
      <w:r>
        <w:rPr>
          <w:rStyle w:val="32"/>
          <w:rFonts w:hint="eastAsia" w:ascii="仿宋_GB2312" w:hAnsi="仿宋_GB2312" w:eastAsia="仿宋_GB2312" w:cs="仿宋_GB2312"/>
          <w:b w:val="0"/>
          <w:bCs w:val="0"/>
          <w:sz w:val="32"/>
          <w:szCs w:val="32"/>
        </w:rPr>
        <w:t>政拨款收入支出决算总表</w:t>
      </w:r>
      <w:bookmarkEnd w:id="63"/>
    </w:p>
    <w:p>
      <w:pPr>
        <w:pStyle w:val="3"/>
        <w:pageBreakBefore w:val="0"/>
        <w:widowControl w:val="0"/>
        <w:kinsoku/>
        <w:wordWrap/>
        <w:overflowPunct/>
        <w:topLinePunct w:val="0"/>
        <w:autoSpaceDE/>
        <w:autoSpaceDN/>
        <w:bidi w:val="0"/>
        <w:adjustRightInd/>
        <w:snapToGrid/>
        <w:spacing w:before="0" w:after="0" w:line="576" w:lineRule="exact"/>
        <w:textAlignment w:val="auto"/>
        <w:rPr>
          <w:rStyle w:val="32"/>
          <w:rFonts w:hint="eastAsia" w:ascii="仿宋_GB2312" w:hAnsi="仿宋_GB2312" w:eastAsia="仿宋_GB2312" w:cs="仿宋_GB2312"/>
          <w:b w:val="0"/>
          <w:bCs w:val="0"/>
          <w:sz w:val="32"/>
          <w:szCs w:val="32"/>
        </w:rPr>
      </w:pPr>
      <w:bookmarkStart w:id="64" w:name="_Toc15396623"/>
      <w:r>
        <w:rPr>
          <w:rStyle w:val="32"/>
          <w:rFonts w:hint="eastAsia" w:ascii="仿宋_GB2312" w:hAnsi="仿宋_GB2312" w:eastAsia="仿宋_GB2312" w:cs="仿宋_GB2312"/>
          <w:b w:val="0"/>
          <w:bCs w:val="0"/>
          <w:sz w:val="32"/>
          <w:szCs w:val="32"/>
        </w:rPr>
        <w:t>五、</w:t>
      </w:r>
      <w:r>
        <w:rPr>
          <w:rFonts w:hint="eastAsia" w:ascii="仿宋_GB2312" w:hAnsi="仿宋_GB2312" w:eastAsia="仿宋_GB2312" w:cs="仿宋_GB2312"/>
          <w:b w:val="0"/>
          <w:color w:val="000000"/>
          <w:sz w:val="32"/>
          <w:szCs w:val="32"/>
        </w:rPr>
        <w:t>财</w:t>
      </w:r>
      <w:r>
        <w:rPr>
          <w:rStyle w:val="32"/>
          <w:rFonts w:hint="eastAsia" w:ascii="仿宋_GB2312" w:hAnsi="仿宋_GB2312" w:eastAsia="仿宋_GB2312" w:cs="仿宋_GB2312"/>
          <w:b w:val="0"/>
          <w:bCs w:val="0"/>
          <w:sz w:val="32"/>
          <w:szCs w:val="32"/>
        </w:rPr>
        <w:t>政拨款支出决算明细表</w:t>
      </w:r>
      <w:bookmarkEnd w:id="64"/>
      <w:bookmarkStart w:id="65" w:name="_Toc15396624"/>
    </w:p>
    <w:p>
      <w:pPr>
        <w:pStyle w:val="3"/>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000000"/>
          <w:sz w:val="32"/>
          <w:szCs w:val="32"/>
        </w:rPr>
      </w:pPr>
      <w:r>
        <w:rPr>
          <w:rStyle w:val="32"/>
          <w:rFonts w:hint="eastAsia" w:ascii="仿宋_GB2312" w:hAnsi="仿宋_GB2312" w:eastAsia="仿宋_GB2312" w:cs="仿宋_GB2312"/>
          <w:b w:val="0"/>
          <w:bCs w:val="0"/>
          <w:sz w:val="32"/>
          <w:szCs w:val="32"/>
        </w:rPr>
        <w:t>六、</w:t>
      </w:r>
      <w:r>
        <w:rPr>
          <w:rFonts w:hint="eastAsia" w:ascii="仿宋_GB2312" w:hAnsi="仿宋_GB2312" w:eastAsia="仿宋_GB2312" w:cs="仿宋_GB2312"/>
          <w:b w:val="0"/>
          <w:color w:val="000000"/>
          <w:sz w:val="32"/>
          <w:szCs w:val="32"/>
        </w:rPr>
        <w:t>一</w:t>
      </w:r>
      <w:r>
        <w:rPr>
          <w:rStyle w:val="32"/>
          <w:rFonts w:hint="eastAsia" w:ascii="仿宋_GB2312" w:hAnsi="仿宋_GB2312" w:eastAsia="仿宋_GB2312" w:cs="仿宋_GB2312"/>
          <w:b w:val="0"/>
          <w:bCs w:val="0"/>
          <w:sz w:val="32"/>
          <w:szCs w:val="32"/>
        </w:rPr>
        <w:t>般公共预算财政拨款支出决算表</w:t>
      </w:r>
      <w:bookmarkEnd w:id="65"/>
    </w:p>
    <w:p>
      <w:pPr>
        <w:pStyle w:val="3"/>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000000"/>
          <w:sz w:val="32"/>
          <w:szCs w:val="32"/>
        </w:rPr>
      </w:pPr>
      <w:bookmarkStart w:id="66" w:name="_Toc15396625"/>
      <w:r>
        <w:rPr>
          <w:rStyle w:val="32"/>
          <w:rFonts w:hint="eastAsia" w:ascii="仿宋_GB2312" w:hAnsi="仿宋_GB2312" w:eastAsia="仿宋_GB2312" w:cs="仿宋_GB2312"/>
          <w:b w:val="0"/>
          <w:bCs w:val="0"/>
          <w:sz w:val="32"/>
          <w:szCs w:val="32"/>
        </w:rPr>
        <w:t>七、</w:t>
      </w:r>
      <w:r>
        <w:rPr>
          <w:rFonts w:hint="eastAsia" w:ascii="仿宋_GB2312" w:hAnsi="仿宋_GB2312" w:eastAsia="仿宋_GB2312" w:cs="仿宋_GB2312"/>
          <w:b w:val="0"/>
          <w:color w:val="000000"/>
          <w:sz w:val="32"/>
          <w:szCs w:val="32"/>
        </w:rPr>
        <w:t>一</w:t>
      </w:r>
      <w:r>
        <w:rPr>
          <w:rStyle w:val="32"/>
          <w:rFonts w:hint="eastAsia" w:ascii="仿宋_GB2312" w:hAnsi="仿宋_GB2312" w:eastAsia="仿宋_GB2312" w:cs="仿宋_GB2312"/>
          <w:b w:val="0"/>
          <w:bCs w:val="0"/>
          <w:sz w:val="32"/>
          <w:szCs w:val="32"/>
        </w:rPr>
        <w:t>般公共预算财政拨款支出决算明细表</w:t>
      </w:r>
      <w:bookmarkEnd w:id="66"/>
    </w:p>
    <w:p>
      <w:pPr>
        <w:pStyle w:val="3"/>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000000"/>
          <w:sz w:val="32"/>
          <w:szCs w:val="32"/>
        </w:rPr>
      </w:pPr>
      <w:bookmarkStart w:id="67" w:name="_Toc15396626"/>
      <w:r>
        <w:rPr>
          <w:rStyle w:val="32"/>
          <w:rFonts w:hint="eastAsia" w:ascii="仿宋_GB2312" w:hAnsi="仿宋_GB2312" w:eastAsia="仿宋_GB2312" w:cs="仿宋_GB2312"/>
          <w:b w:val="0"/>
          <w:bCs w:val="0"/>
          <w:sz w:val="32"/>
          <w:szCs w:val="32"/>
        </w:rPr>
        <w:t>八、</w:t>
      </w:r>
      <w:r>
        <w:rPr>
          <w:rFonts w:hint="eastAsia" w:ascii="仿宋_GB2312" w:hAnsi="仿宋_GB2312" w:eastAsia="仿宋_GB2312" w:cs="仿宋_GB2312"/>
          <w:b w:val="0"/>
          <w:color w:val="000000"/>
          <w:sz w:val="32"/>
          <w:szCs w:val="32"/>
        </w:rPr>
        <w:t>一</w:t>
      </w:r>
      <w:r>
        <w:rPr>
          <w:rStyle w:val="32"/>
          <w:rFonts w:hint="eastAsia" w:ascii="仿宋_GB2312" w:hAnsi="仿宋_GB2312" w:eastAsia="仿宋_GB2312" w:cs="仿宋_GB2312"/>
          <w:b w:val="0"/>
          <w:bCs w:val="0"/>
          <w:sz w:val="32"/>
          <w:szCs w:val="32"/>
        </w:rPr>
        <w:t>般公共预算财政拨款基本支出决算表</w:t>
      </w:r>
      <w:bookmarkEnd w:id="67"/>
    </w:p>
    <w:p>
      <w:pPr>
        <w:pStyle w:val="3"/>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000000"/>
          <w:sz w:val="32"/>
          <w:szCs w:val="32"/>
        </w:rPr>
      </w:pPr>
      <w:bookmarkStart w:id="68" w:name="_Toc15396627"/>
      <w:r>
        <w:rPr>
          <w:rStyle w:val="32"/>
          <w:rFonts w:hint="eastAsia" w:ascii="仿宋_GB2312" w:hAnsi="仿宋_GB2312" w:eastAsia="仿宋_GB2312" w:cs="仿宋_GB2312"/>
          <w:b w:val="0"/>
          <w:bCs w:val="0"/>
          <w:sz w:val="32"/>
          <w:szCs w:val="32"/>
        </w:rPr>
        <w:t>九、</w:t>
      </w:r>
      <w:r>
        <w:rPr>
          <w:rFonts w:hint="eastAsia" w:ascii="仿宋_GB2312" w:hAnsi="仿宋_GB2312" w:eastAsia="仿宋_GB2312" w:cs="仿宋_GB2312"/>
          <w:b w:val="0"/>
          <w:color w:val="000000"/>
          <w:sz w:val="32"/>
          <w:szCs w:val="32"/>
        </w:rPr>
        <w:t>一</w:t>
      </w:r>
      <w:r>
        <w:rPr>
          <w:rStyle w:val="32"/>
          <w:rFonts w:hint="eastAsia" w:ascii="仿宋_GB2312" w:hAnsi="仿宋_GB2312" w:eastAsia="仿宋_GB2312" w:cs="仿宋_GB2312"/>
          <w:b w:val="0"/>
          <w:bCs w:val="0"/>
          <w:sz w:val="32"/>
          <w:szCs w:val="32"/>
        </w:rPr>
        <w:t>般公共预算财政拨款项目支出决算表</w:t>
      </w:r>
      <w:bookmarkEnd w:id="68"/>
    </w:p>
    <w:p>
      <w:pPr>
        <w:pStyle w:val="3"/>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000000"/>
          <w:sz w:val="32"/>
          <w:szCs w:val="32"/>
        </w:rPr>
      </w:pPr>
      <w:bookmarkStart w:id="69" w:name="_Toc15396628"/>
      <w:r>
        <w:rPr>
          <w:rStyle w:val="32"/>
          <w:rFonts w:hint="eastAsia" w:ascii="仿宋_GB2312" w:hAnsi="仿宋_GB2312" w:eastAsia="仿宋_GB2312" w:cs="仿宋_GB2312"/>
          <w:b w:val="0"/>
          <w:bCs w:val="0"/>
          <w:sz w:val="32"/>
          <w:szCs w:val="32"/>
        </w:rPr>
        <w:t>十、</w:t>
      </w:r>
      <w:r>
        <w:rPr>
          <w:rFonts w:hint="eastAsia" w:ascii="仿宋_GB2312" w:hAnsi="仿宋_GB2312" w:eastAsia="仿宋_GB2312" w:cs="仿宋_GB2312"/>
          <w:b w:val="0"/>
          <w:color w:val="000000"/>
          <w:sz w:val="32"/>
          <w:szCs w:val="32"/>
        </w:rPr>
        <w:t>一</w:t>
      </w:r>
      <w:r>
        <w:rPr>
          <w:rStyle w:val="32"/>
          <w:rFonts w:hint="eastAsia" w:ascii="仿宋_GB2312" w:hAnsi="仿宋_GB2312" w:eastAsia="仿宋_GB2312" w:cs="仿宋_GB2312"/>
          <w:b w:val="0"/>
          <w:bCs w:val="0"/>
          <w:sz w:val="32"/>
          <w:szCs w:val="32"/>
        </w:rPr>
        <w:t>般公共预算财政拨款“三公”经费支出决算表</w:t>
      </w:r>
      <w:bookmarkEnd w:id="69"/>
    </w:p>
    <w:p>
      <w:pPr>
        <w:pStyle w:val="3"/>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000000"/>
          <w:sz w:val="32"/>
          <w:szCs w:val="32"/>
        </w:rPr>
      </w:pPr>
      <w:bookmarkStart w:id="70" w:name="_Toc15396629"/>
      <w:r>
        <w:rPr>
          <w:rStyle w:val="32"/>
          <w:rFonts w:hint="eastAsia" w:ascii="仿宋_GB2312" w:hAnsi="仿宋_GB2312" w:eastAsia="仿宋_GB2312" w:cs="仿宋_GB2312"/>
          <w:b w:val="0"/>
          <w:bCs w:val="0"/>
          <w:sz w:val="32"/>
          <w:szCs w:val="32"/>
        </w:rPr>
        <w:t>十一、</w:t>
      </w:r>
      <w:r>
        <w:rPr>
          <w:rFonts w:hint="eastAsia" w:ascii="仿宋_GB2312" w:hAnsi="仿宋_GB2312" w:eastAsia="仿宋_GB2312" w:cs="仿宋_GB2312"/>
          <w:b w:val="0"/>
          <w:color w:val="000000"/>
          <w:sz w:val="32"/>
          <w:szCs w:val="32"/>
        </w:rPr>
        <w:t>政</w:t>
      </w:r>
      <w:r>
        <w:rPr>
          <w:rStyle w:val="32"/>
          <w:rFonts w:hint="eastAsia" w:ascii="仿宋_GB2312" w:hAnsi="仿宋_GB2312" w:eastAsia="仿宋_GB2312" w:cs="仿宋_GB2312"/>
          <w:b w:val="0"/>
          <w:bCs w:val="0"/>
          <w:sz w:val="32"/>
          <w:szCs w:val="32"/>
        </w:rPr>
        <w:t>府性基金预算财政拨款收入支出决算表</w:t>
      </w:r>
      <w:bookmarkEnd w:id="70"/>
    </w:p>
    <w:p>
      <w:pPr>
        <w:pStyle w:val="3"/>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000000"/>
          <w:sz w:val="32"/>
          <w:szCs w:val="32"/>
        </w:rPr>
      </w:pPr>
      <w:bookmarkStart w:id="71" w:name="_Toc15396630"/>
      <w:r>
        <w:rPr>
          <w:rStyle w:val="32"/>
          <w:rFonts w:hint="eastAsia" w:ascii="仿宋_GB2312" w:hAnsi="仿宋_GB2312" w:eastAsia="仿宋_GB2312" w:cs="仿宋_GB2312"/>
          <w:b w:val="0"/>
          <w:bCs w:val="0"/>
          <w:sz w:val="32"/>
          <w:szCs w:val="32"/>
        </w:rPr>
        <w:t>十二、</w:t>
      </w:r>
      <w:r>
        <w:rPr>
          <w:rFonts w:hint="eastAsia" w:ascii="仿宋_GB2312" w:hAnsi="仿宋_GB2312" w:eastAsia="仿宋_GB2312" w:cs="仿宋_GB2312"/>
          <w:b w:val="0"/>
          <w:color w:val="000000"/>
          <w:sz w:val="32"/>
          <w:szCs w:val="32"/>
        </w:rPr>
        <w:t>政</w:t>
      </w:r>
      <w:r>
        <w:rPr>
          <w:rStyle w:val="32"/>
          <w:rFonts w:hint="eastAsia" w:ascii="仿宋_GB2312" w:hAnsi="仿宋_GB2312" w:eastAsia="仿宋_GB2312" w:cs="仿宋_GB2312"/>
          <w:b w:val="0"/>
          <w:bCs w:val="0"/>
          <w:sz w:val="32"/>
          <w:szCs w:val="32"/>
        </w:rPr>
        <w:t>府性基金预算财政拨款“三公”经费支出决算表</w:t>
      </w:r>
      <w:bookmarkEnd w:id="71"/>
    </w:p>
    <w:p>
      <w:pPr>
        <w:pStyle w:val="3"/>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000000" w:themeColor="text1"/>
          <w:sz w:val="32"/>
          <w:szCs w:val="32"/>
        </w:rPr>
      </w:pPr>
      <w:bookmarkStart w:id="72" w:name="_Toc15396631"/>
      <w:r>
        <w:rPr>
          <w:rStyle w:val="32"/>
          <w:rFonts w:hint="eastAsia" w:ascii="仿宋_GB2312" w:hAnsi="仿宋_GB2312" w:eastAsia="仿宋_GB2312" w:cs="仿宋_GB2312"/>
          <w:b w:val="0"/>
          <w:bCs w:val="0"/>
          <w:sz w:val="32"/>
          <w:szCs w:val="32"/>
        </w:rPr>
        <w:t>十三、</w:t>
      </w:r>
      <w:r>
        <w:rPr>
          <w:rFonts w:hint="eastAsia" w:ascii="仿宋_GB2312" w:hAnsi="仿宋_GB2312" w:eastAsia="仿宋_GB2312" w:cs="仿宋_GB2312"/>
          <w:b w:val="0"/>
          <w:color w:val="000000"/>
          <w:sz w:val="32"/>
          <w:szCs w:val="32"/>
        </w:rPr>
        <w:t>国</w:t>
      </w:r>
      <w:r>
        <w:rPr>
          <w:rStyle w:val="32"/>
          <w:rFonts w:hint="eastAsia" w:ascii="仿宋_GB2312" w:hAnsi="仿宋_GB2312" w:eastAsia="仿宋_GB2312" w:cs="仿宋_GB2312"/>
          <w:b w:val="0"/>
          <w:bCs w:val="0"/>
          <w:sz w:val="32"/>
          <w:szCs w:val="32"/>
        </w:rPr>
        <w:t>有资本经营预算支出决算表</w:t>
      </w:r>
      <w:bookmarkEnd w:id="72"/>
    </w:p>
    <w:sectPr>
      <w:footerReference r:id="rId5" w:type="first"/>
      <w:headerReference r:id="rId3" w:type="default"/>
      <w:footerReference r:id="rId4" w:type="default"/>
      <w:pgSz w:w="11906" w:h="16838"/>
      <w:pgMar w:top="2098" w:right="1531" w:bottom="1984" w:left="1531" w:header="851" w:footer="1587" w:gutter="0"/>
      <w:paperSrc/>
      <w:pgNumType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wps:txbx>
                    <wps:bodyPr vert="horz" wrap="none" lIns="0" tIns="0" rIns="0" bIns="0" anchor="t"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vKm2xgEAAGsDAAAOAAAAAAAAAAEAIAAAAB4BAABkcnMvZTJvRG9jLnht&#10;bFBLBQYAAAAABgAGAFkBAABWBQAAAAA=&#10;">
              <v:fill on="f" focussize="0,0"/>
              <v:stroke on="f"/>
              <v:imagedata o:title=""/>
              <o:lock v:ext="edit" aspectratio="f"/>
              <v:textbox inset="0mm,0mm,0mm,0mm" style="mso-fit-shape-to-text:t;">
                <w:txbxContent>
                  <w:p>
                    <w:pPr>
                      <w:pStyle w:val="11"/>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IjO4gLFAQAAbAMAAA4AAAAAAAAAAQAgAAAAHgEAAGRycy9lMm9Eb2MueG1s&#10;UEsFBgAAAAAGAAYAWQEAAFUFAAAAAA==&#10;">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85C769"/>
    <w:multiLevelType w:val="singleLevel"/>
    <w:tmpl w:val="B085C769"/>
    <w:lvl w:ilvl="0" w:tentative="0">
      <w:start w:val="1"/>
      <w:numFmt w:val="chineseCounting"/>
      <w:suff w:val="space"/>
      <w:lvlText w:val="第%1部分"/>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31205"/>
    <w:rsid w:val="000468DB"/>
    <w:rsid w:val="00053644"/>
    <w:rsid w:val="000630C4"/>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0424"/>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83E8E"/>
    <w:rsid w:val="0038555E"/>
    <w:rsid w:val="003A484F"/>
    <w:rsid w:val="003A4883"/>
    <w:rsid w:val="003B0BE0"/>
    <w:rsid w:val="003B0C1B"/>
    <w:rsid w:val="003B688C"/>
    <w:rsid w:val="003C0291"/>
    <w:rsid w:val="003C39AE"/>
    <w:rsid w:val="003C7B60"/>
    <w:rsid w:val="003D0C0F"/>
    <w:rsid w:val="003D1FB2"/>
    <w:rsid w:val="003D66DA"/>
    <w:rsid w:val="003D6F88"/>
    <w:rsid w:val="003D7587"/>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30BDF"/>
    <w:rsid w:val="005664BB"/>
    <w:rsid w:val="00566FFA"/>
    <w:rsid w:val="0057481D"/>
    <w:rsid w:val="00575F0B"/>
    <w:rsid w:val="0058486E"/>
    <w:rsid w:val="00585B33"/>
    <w:rsid w:val="0059014D"/>
    <w:rsid w:val="005A41A0"/>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6F78DF"/>
    <w:rsid w:val="007127B7"/>
    <w:rsid w:val="0071798E"/>
    <w:rsid w:val="00727533"/>
    <w:rsid w:val="00734A54"/>
    <w:rsid w:val="007416B6"/>
    <w:rsid w:val="00746F48"/>
    <w:rsid w:val="007527FA"/>
    <w:rsid w:val="0075404D"/>
    <w:rsid w:val="007572FB"/>
    <w:rsid w:val="0076182A"/>
    <w:rsid w:val="00767B7E"/>
    <w:rsid w:val="00773A90"/>
    <w:rsid w:val="007770C3"/>
    <w:rsid w:val="00784D24"/>
    <w:rsid w:val="00785FBA"/>
    <w:rsid w:val="007865CD"/>
    <w:rsid w:val="00786E4A"/>
    <w:rsid w:val="007875EB"/>
    <w:rsid w:val="0079426B"/>
    <w:rsid w:val="007A06D4"/>
    <w:rsid w:val="007D1682"/>
    <w:rsid w:val="007D312A"/>
    <w:rsid w:val="007D3F19"/>
    <w:rsid w:val="007E23B0"/>
    <w:rsid w:val="007E4092"/>
    <w:rsid w:val="007F1991"/>
    <w:rsid w:val="007F2C2F"/>
    <w:rsid w:val="007F55FC"/>
    <w:rsid w:val="007F5665"/>
    <w:rsid w:val="00800112"/>
    <w:rsid w:val="00813348"/>
    <w:rsid w:val="00817CE8"/>
    <w:rsid w:val="008253BB"/>
    <w:rsid w:val="00833962"/>
    <w:rsid w:val="0083706E"/>
    <w:rsid w:val="008408F6"/>
    <w:rsid w:val="008423A5"/>
    <w:rsid w:val="00850625"/>
    <w:rsid w:val="00853718"/>
    <w:rsid w:val="00855221"/>
    <w:rsid w:val="00860645"/>
    <w:rsid w:val="00871F71"/>
    <w:rsid w:val="00872FD8"/>
    <w:rsid w:val="00877B01"/>
    <w:rsid w:val="00885AF4"/>
    <w:rsid w:val="008939CD"/>
    <w:rsid w:val="0089799F"/>
    <w:rsid w:val="008B768C"/>
    <w:rsid w:val="008C4DB1"/>
    <w:rsid w:val="008C4EAF"/>
    <w:rsid w:val="008C5176"/>
    <w:rsid w:val="008C7FD0"/>
    <w:rsid w:val="008E1DE7"/>
    <w:rsid w:val="008E707C"/>
    <w:rsid w:val="00900B08"/>
    <w:rsid w:val="00902155"/>
    <w:rsid w:val="00902FA3"/>
    <w:rsid w:val="00904202"/>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94D08"/>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07C92"/>
    <w:rsid w:val="00B10517"/>
    <w:rsid w:val="00B14E76"/>
    <w:rsid w:val="00B161B8"/>
    <w:rsid w:val="00B2048C"/>
    <w:rsid w:val="00B310B9"/>
    <w:rsid w:val="00B348A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D77CA"/>
    <w:rsid w:val="00BF5BD6"/>
    <w:rsid w:val="00C03E31"/>
    <w:rsid w:val="00C07426"/>
    <w:rsid w:val="00C14F4E"/>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29F6"/>
    <w:rsid w:val="00CE44F6"/>
    <w:rsid w:val="00CE4824"/>
    <w:rsid w:val="00CE49DA"/>
    <w:rsid w:val="00CE7B61"/>
    <w:rsid w:val="00D00095"/>
    <w:rsid w:val="00D114F0"/>
    <w:rsid w:val="00D20620"/>
    <w:rsid w:val="00D254F7"/>
    <w:rsid w:val="00D26091"/>
    <w:rsid w:val="00D2685C"/>
    <w:rsid w:val="00D34E7C"/>
    <w:rsid w:val="00D35489"/>
    <w:rsid w:val="00D36AFE"/>
    <w:rsid w:val="00D504B2"/>
    <w:rsid w:val="00D51276"/>
    <w:rsid w:val="00D7035F"/>
    <w:rsid w:val="00DA634F"/>
    <w:rsid w:val="00DA65AC"/>
    <w:rsid w:val="00DB1913"/>
    <w:rsid w:val="00DC410D"/>
    <w:rsid w:val="00DC5A81"/>
    <w:rsid w:val="00DC68CA"/>
    <w:rsid w:val="00DC7CBA"/>
    <w:rsid w:val="00DD73B7"/>
    <w:rsid w:val="00DF28BC"/>
    <w:rsid w:val="00DF34B9"/>
    <w:rsid w:val="00E01053"/>
    <w:rsid w:val="00E02CA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B05AD"/>
    <w:rsid w:val="00ED1B63"/>
    <w:rsid w:val="00ED3C1F"/>
    <w:rsid w:val="00ED4085"/>
    <w:rsid w:val="00ED420E"/>
    <w:rsid w:val="00ED6FBE"/>
    <w:rsid w:val="00EE2F57"/>
    <w:rsid w:val="00EE72F8"/>
    <w:rsid w:val="00EF4C34"/>
    <w:rsid w:val="00EF77C6"/>
    <w:rsid w:val="00F05438"/>
    <w:rsid w:val="00F101C7"/>
    <w:rsid w:val="00F1361C"/>
    <w:rsid w:val="00F156F0"/>
    <w:rsid w:val="00F160C7"/>
    <w:rsid w:val="00F2408F"/>
    <w:rsid w:val="00F240E9"/>
    <w:rsid w:val="00F36D8F"/>
    <w:rsid w:val="00F417B1"/>
    <w:rsid w:val="00F45853"/>
    <w:rsid w:val="00F602DF"/>
    <w:rsid w:val="00F73ACF"/>
    <w:rsid w:val="00F754A1"/>
    <w:rsid w:val="00F81FD9"/>
    <w:rsid w:val="00F841AA"/>
    <w:rsid w:val="00F84A94"/>
    <w:rsid w:val="00F87E96"/>
    <w:rsid w:val="00FA23E8"/>
    <w:rsid w:val="00FD3CC1"/>
    <w:rsid w:val="00FF1E02"/>
    <w:rsid w:val="00FF30B4"/>
    <w:rsid w:val="06174D9B"/>
    <w:rsid w:val="077059B1"/>
    <w:rsid w:val="082D18AC"/>
    <w:rsid w:val="10C055FF"/>
    <w:rsid w:val="14FF7D2F"/>
    <w:rsid w:val="16BB723D"/>
    <w:rsid w:val="183A3651"/>
    <w:rsid w:val="20890F2C"/>
    <w:rsid w:val="240371BF"/>
    <w:rsid w:val="29FD04D3"/>
    <w:rsid w:val="319F7F4E"/>
    <w:rsid w:val="344F5A7D"/>
    <w:rsid w:val="372B1F97"/>
    <w:rsid w:val="3A11112D"/>
    <w:rsid w:val="3E465A36"/>
    <w:rsid w:val="40283A24"/>
    <w:rsid w:val="4ECE2238"/>
    <w:rsid w:val="4FA34DC9"/>
    <w:rsid w:val="54551CEE"/>
    <w:rsid w:val="581E2755"/>
    <w:rsid w:val="72734D9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260"/>
      <w:jc w:val="left"/>
    </w:pPr>
    <w:rPr>
      <w:rFonts w:asciiTheme="minorHAnsi" w:hAnsiTheme="minorHAnsi"/>
      <w:sz w:val="20"/>
      <w:szCs w:val="20"/>
    </w:rPr>
  </w:style>
  <w:style w:type="paragraph" w:styleId="6">
    <w:name w:val="Body Text"/>
    <w:basedOn w:val="1"/>
    <w:link w:val="28"/>
    <w:uiPriority w:val="99"/>
    <w:pPr>
      <w:spacing w:beforeLines="30"/>
    </w:pPr>
    <w:rPr>
      <w:rFonts w:ascii="仿宋_GB2312" w:eastAsia="仿宋_GB2312"/>
      <w:kern w:val="0"/>
      <w:sz w:val="30"/>
    </w:rPr>
  </w:style>
  <w:style w:type="paragraph" w:styleId="7">
    <w:name w:val="toc 5"/>
    <w:basedOn w:val="1"/>
    <w:next w:val="1"/>
    <w:unhideWhenUsed/>
    <w:qFormat/>
    <w:uiPriority w:val="39"/>
    <w:pPr>
      <w:ind w:left="840"/>
      <w:jc w:val="left"/>
    </w:pPr>
    <w:rPr>
      <w:rFonts w:asciiTheme="minorHAnsi" w:hAnsiTheme="minorHAnsi"/>
      <w:sz w:val="20"/>
      <w:szCs w:val="20"/>
    </w:rPr>
  </w:style>
  <w:style w:type="paragraph" w:styleId="8">
    <w:name w:val="toc 3"/>
    <w:basedOn w:val="1"/>
    <w:next w:val="1"/>
    <w:unhideWhenUsed/>
    <w:qFormat/>
    <w:uiPriority w:val="39"/>
    <w:pPr>
      <w:ind w:left="420"/>
      <w:jc w:val="left"/>
    </w:pPr>
    <w:rPr>
      <w:rFonts w:asciiTheme="minorHAnsi" w:hAnsiTheme="minorHAnsi"/>
      <w:sz w:val="20"/>
      <w:szCs w:val="20"/>
    </w:rPr>
  </w:style>
  <w:style w:type="paragraph" w:styleId="9">
    <w:name w:val="toc 8"/>
    <w:basedOn w:val="1"/>
    <w:next w:val="1"/>
    <w:unhideWhenUsed/>
    <w:qFormat/>
    <w:uiPriority w:val="39"/>
    <w:pPr>
      <w:ind w:left="1470"/>
      <w:jc w:val="left"/>
    </w:pPr>
    <w:rPr>
      <w:rFonts w:asciiTheme="minorHAnsi" w:hAnsiTheme="minorHAnsi"/>
      <w:sz w:val="20"/>
      <w:szCs w:val="20"/>
    </w:rPr>
  </w:style>
  <w:style w:type="paragraph" w:styleId="10">
    <w:name w:val="Balloon Text"/>
    <w:basedOn w:val="1"/>
    <w:link w:val="34"/>
    <w:semiHidden/>
    <w:unhideWhenUsed/>
    <w:qFormat/>
    <w:uiPriority w:val="99"/>
    <w:rPr>
      <w:sz w:val="18"/>
      <w:szCs w:val="18"/>
    </w:rPr>
  </w:style>
  <w:style w:type="paragraph" w:styleId="11">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spacing w:before="240" w:after="120"/>
      <w:jc w:val="left"/>
    </w:pPr>
    <w:rPr>
      <w:rFonts w:asciiTheme="minorHAnsi" w:hAnsiTheme="minorHAnsi"/>
      <w:b/>
      <w:bCs/>
      <w:sz w:val="20"/>
      <w:szCs w:val="20"/>
    </w:rPr>
  </w:style>
  <w:style w:type="paragraph" w:styleId="14">
    <w:name w:val="toc 4"/>
    <w:basedOn w:val="1"/>
    <w:next w:val="1"/>
    <w:unhideWhenUsed/>
    <w:qFormat/>
    <w:uiPriority w:val="39"/>
    <w:pPr>
      <w:ind w:left="630"/>
      <w:jc w:val="left"/>
    </w:pPr>
    <w:rPr>
      <w:rFonts w:asciiTheme="minorHAnsi" w:hAnsiTheme="minorHAnsi"/>
      <w:sz w:val="20"/>
      <w:szCs w:val="20"/>
    </w:rPr>
  </w:style>
  <w:style w:type="paragraph" w:styleId="15">
    <w:name w:val="toc 6"/>
    <w:basedOn w:val="1"/>
    <w:next w:val="1"/>
    <w:unhideWhenUsed/>
    <w:qFormat/>
    <w:uiPriority w:val="39"/>
    <w:pPr>
      <w:ind w:left="1050"/>
      <w:jc w:val="left"/>
    </w:pPr>
    <w:rPr>
      <w:rFonts w:asciiTheme="minorHAnsi" w:hAnsiTheme="minorHAnsi"/>
      <w:sz w:val="20"/>
      <w:szCs w:val="20"/>
    </w:rPr>
  </w:style>
  <w:style w:type="paragraph" w:styleId="16">
    <w:name w:val="toc 2"/>
    <w:basedOn w:val="1"/>
    <w:next w:val="1"/>
    <w:unhideWhenUsed/>
    <w:qFormat/>
    <w:uiPriority w:val="39"/>
    <w:pPr>
      <w:spacing w:before="120"/>
      <w:ind w:left="210"/>
      <w:jc w:val="left"/>
    </w:pPr>
    <w:rPr>
      <w:rFonts w:asciiTheme="minorHAnsi" w:hAnsiTheme="minorHAnsi"/>
      <w:i/>
      <w:iCs/>
      <w:sz w:val="20"/>
      <w:szCs w:val="20"/>
    </w:rPr>
  </w:style>
  <w:style w:type="paragraph" w:styleId="17">
    <w:name w:val="toc 9"/>
    <w:basedOn w:val="1"/>
    <w:next w:val="1"/>
    <w:unhideWhenUsed/>
    <w:qFormat/>
    <w:uiPriority w:val="39"/>
    <w:pPr>
      <w:ind w:left="1680"/>
      <w:jc w:val="left"/>
    </w:pPr>
    <w:rPr>
      <w:rFonts w:asciiTheme="minorHAnsi" w:hAnsiTheme="minorHAnsi"/>
      <w:sz w:val="20"/>
      <w:szCs w:val="20"/>
    </w:rPr>
  </w:style>
  <w:style w:type="character" w:styleId="20">
    <w:name w:val="Strong"/>
    <w:basedOn w:val="19"/>
    <w:qFormat/>
    <w:uiPriority w:val="99"/>
    <w:rPr>
      <w:b/>
    </w:rPr>
  </w:style>
  <w:style w:type="character" w:styleId="21">
    <w:name w:val="page number"/>
    <w:basedOn w:val="19"/>
    <w:uiPriority w:val="0"/>
  </w:style>
  <w:style w:type="character" w:styleId="22">
    <w:name w:val="Hyperlink"/>
    <w:basedOn w:val="19"/>
    <w:unhideWhenUsed/>
    <w:qFormat/>
    <w:uiPriority w:val="99"/>
    <w:rPr>
      <w:color w:val="0000FF" w:themeColor="hyperlink"/>
      <w:u w:val="single"/>
    </w:rPr>
  </w:style>
  <w:style w:type="character" w:customStyle="1" w:styleId="23">
    <w:name w:val="Header Char"/>
    <w:basedOn w:val="19"/>
    <w:semiHidden/>
    <w:qFormat/>
    <w:uiPriority w:val="99"/>
    <w:rPr>
      <w:rFonts w:ascii="Times New Roman" w:hAnsi="Times New Roman"/>
      <w:sz w:val="18"/>
      <w:szCs w:val="18"/>
    </w:rPr>
  </w:style>
  <w:style w:type="character" w:customStyle="1" w:styleId="24">
    <w:name w:val="页眉 Char"/>
    <w:link w:val="12"/>
    <w:semiHidden/>
    <w:qFormat/>
    <w:locked/>
    <w:uiPriority w:val="99"/>
    <w:rPr>
      <w:sz w:val="18"/>
    </w:rPr>
  </w:style>
  <w:style w:type="character" w:customStyle="1" w:styleId="25">
    <w:name w:val="Footer Char"/>
    <w:basedOn w:val="19"/>
    <w:semiHidden/>
    <w:qFormat/>
    <w:uiPriority w:val="99"/>
    <w:rPr>
      <w:rFonts w:ascii="Times New Roman" w:hAnsi="Times New Roman"/>
      <w:sz w:val="18"/>
      <w:szCs w:val="18"/>
    </w:rPr>
  </w:style>
  <w:style w:type="character" w:customStyle="1" w:styleId="26">
    <w:name w:val="页脚 Char"/>
    <w:link w:val="11"/>
    <w:qFormat/>
    <w:locked/>
    <w:uiPriority w:val="99"/>
    <w:rPr>
      <w:sz w:val="18"/>
    </w:rPr>
  </w:style>
  <w:style w:type="character" w:customStyle="1" w:styleId="27">
    <w:name w:val="Body Text Char"/>
    <w:basedOn w:val="19"/>
    <w:semiHidden/>
    <w:qFormat/>
    <w:uiPriority w:val="99"/>
    <w:rPr>
      <w:rFonts w:ascii="Times New Roman" w:hAnsi="Times New Roman"/>
      <w:szCs w:val="24"/>
    </w:rPr>
  </w:style>
  <w:style w:type="character" w:customStyle="1" w:styleId="28">
    <w:name w:val="正文文本 Char"/>
    <w:link w:val="6"/>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34"/>
    <w:pPr>
      <w:ind w:firstLine="420" w:firstLineChars="200"/>
    </w:pPr>
  </w:style>
  <w:style w:type="character" w:customStyle="1" w:styleId="31">
    <w:name w:val="标题 1 Char"/>
    <w:basedOn w:val="19"/>
    <w:link w:val="2"/>
    <w:qFormat/>
    <w:uiPriority w:val="9"/>
    <w:rPr>
      <w:rFonts w:ascii="Times New Roman" w:hAnsi="Times New Roman"/>
      <w:b/>
      <w:bCs/>
      <w:kern w:val="44"/>
      <w:sz w:val="44"/>
      <w:szCs w:val="44"/>
    </w:rPr>
  </w:style>
  <w:style w:type="character" w:customStyle="1" w:styleId="32">
    <w:name w:val="标题 2 Char"/>
    <w:basedOn w:val="19"/>
    <w:link w:val="3"/>
    <w:qFormat/>
    <w:uiPriority w:val="9"/>
    <w:rPr>
      <w:rFonts w:asciiTheme="majorHAnsi" w:hAnsiTheme="majorHAnsi" w:eastAsiaTheme="majorEastAsia" w:cstheme="majorBidi"/>
      <w:b/>
      <w:bCs/>
      <w:kern w:val="2"/>
      <w:sz w:val="32"/>
      <w:szCs w:val="32"/>
    </w:rPr>
  </w:style>
  <w:style w:type="paragraph" w:customStyle="1" w:styleId="3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4">
    <w:name w:val="批注框文本 Char"/>
    <w:basedOn w:val="19"/>
    <w:link w:val="10"/>
    <w:semiHidden/>
    <w:qFormat/>
    <w:uiPriority w:val="99"/>
    <w:rPr>
      <w:rFonts w:ascii="Times New Roman" w:hAnsi="Times New Roman"/>
      <w:kern w:val="2"/>
      <w:sz w:val="18"/>
      <w:szCs w:val="18"/>
    </w:rPr>
  </w:style>
  <w:style w:type="character" w:customStyle="1" w:styleId="35">
    <w:name w:val="标题 3 Char"/>
    <w:basedOn w:val="19"/>
    <w:link w:val="4"/>
    <w:qFormat/>
    <w:uiPriority w:val="9"/>
    <w:rPr>
      <w:rFonts w:ascii="Times New Roman" w:hAnsi="Times New Roman"/>
      <w:b/>
      <w:bCs/>
      <w:kern w:val="2"/>
      <w:sz w:val="32"/>
      <w:szCs w:val="32"/>
    </w:rPr>
  </w:style>
  <w:style w:type="paragraph" w:customStyle="1" w:styleId="36">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chart" Target="charts/chart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themeOverride" Target="../theme/themeOverrid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300034295239658"/>
          <c:y val="0.0257527648176948"/>
        </c:manualLayout>
      </c:layout>
      <c:overlay val="0"/>
      <c:spPr>
        <a:noFill/>
        <a:ln>
          <a:noFill/>
        </a:ln>
        <a:effectLst/>
      </c:spPr>
      <c:tx>
        <c:rich>
          <a:bodyPr/>
          <a:lstStyle/>
          <a:p>
            <a:pPr>
              <a:defRPr/>
            </a:pPr>
          </a:p>
        </c:rich>
      </c:tx>
    </c:title>
    <c:autoTitleDeleted val="0"/>
    <c:plotArea>
      <c:layout>
        <c:manualLayout>
          <c:layoutTarget val="inner"/>
          <c:xMode val="edge"/>
          <c:yMode val="edge"/>
          <c:x val="0.26465889612255"/>
          <c:y val="0.211675094816688"/>
          <c:w val="0.400959024181846"/>
          <c:h val="0.669068338249755"/>
        </c:manualLayout>
      </c:layout>
      <c:pieChart>
        <c:varyColors val="1"/>
        <c:ser>
          <c:idx val="0"/>
          <c:order val="0"/>
          <c:tx>
            <c:strRef>
              <c:f>[工作簿1]Sheet1!$A$2</c:f>
              <c:strCache>
                <c:ptCount val="1"/>
                <c:pt idx="0">
                  <c:v>收入</c:v>
                </c:pt>
              </c:strCache>
            </c:strRef>
          </c:tx>
          <c:spPr>
            <a:solidFill>
              <a:srgbClr val="1E2223"/>
            </a:solidFill>
            <a:ln w="19050" cap="rnd" cmpd="sng">
              <a:solidFill>
                <a:schemeClr val="tx1">
                  <a:lumMod val="65000"/>
                  <a:lumOff val="35000"/>
                </a:schemeClr>
              </a:solidFill>
              <a:prstDash val="solid"/>
              <a:round/>
            </a:ln>
            <a:effectLst/>
          </c:spPr>
          <c:explosion val="0"/>
          <c:dPt>
            <c:idx val="0"/>
            <c:bubble3D val="0"/>
            <c:spPr>
              <a:solidFill>
                <a:srgbClr val="FFD588"/>
              </a:solidFill>
              <a:ln w="19050" cap="rnd" cmpd="sng">
                <a:solidFill>
                  <a:schemeClr val="tx1">
                    <a:lumMod val="65000"/>
                    <a:lumOff val="35000"/>
                  </a:schemeClr>
                </a:solidFill>
                <a:prstDash val="solid"/>
                <a:round/>
              </a:ln>
              <a:effectLst/>
            </c:spPr>
          </c:dPt>
          <c:dLbls>
            <c:dLbl>
              <c:idx val="0"/>
              <c:layout/>
              <c:numFmt formatCode="General" sourceLinked="1"/>
              <c:spPr>
                <a:solidFill>
                  <a:srgbClr val="F3BF61"/>
                </a:solidFill>
                <a:ln>
                  <a:solidFill>
                    <a:schemeClr val="tx1">
                      <a:lumMod val="65000"/>
                      <a:lumOff val="35000"/>
                    </a:schemeClr>
                  </a:solid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0"/>
              <c:showSerName val="1"/>
              <c:showPercent val="1"/>
              <c:showBubbleSize val="0"/>
              <c:extLst>
                <c:ext xmlns:c15="http://schemas.microsoft.com/office/drawing/2012/chart" uri="{CE6537A1-D6FC-4f65-9D91-7224C49458BB}"/>
              </c:extLst>
            </c:dLbl>
            <c:spPr>
              <a:solidFill>
                <a:srgbClr val="FFD588"/>
              </a:solidFill>
              <a:ln>
                <a:solidFill>
                  <a:schemeClr val="tx1">
                    <a:lumMod val="65000"/>
                    <a:lumOff val="35000"/>
                  </a:schemeClr>
                </a:solid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prstDash val="solid"/>
                      <a:round/>
                    </a:ln>
                    <a:effectLst/>
                  </c:spPr>
                </c15:leaderLines>
              </c:ext>
            </c:extLst>
          </c:dLbls>
          <c:cat>
            <c:strRef>
              <c:f>[工作簿1]Sheet1!$B$1</c:f>
              <c:strCache>
                <c:ptCount val="1"/>
                <c:pt idx="0">
                  <c:v>2019年</c:v>
                </c:pt>
              </c:strCache>
            </c:strRef>
          </c:cat>
          <c:val>
            <c:numRef>
              <c:f>[工作簿1]Sheet1!$B$2</c:f>
              <c:numCache>
                <c:formatCode>General</c:formatCode>
                <c:ptCount val="1"/>
                <c:pt idx="0">
                  <c:v>1690.22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845740165522233"/>
          <c:y val="0.296649108020789"/>
          <c:w val="0.0974115606924251"/>
          <c:h val="0.451567635903919"/>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zero"/>
    <c:showDLblsOverMax val="0"/>
  </c:chart>
  <c:spPr>
    <a:blipFill rotWithShape="1">
      <a:blip xmlns:r="http://schemas.openxmlformats.org/officeDocument/2006/relationships" r:embed="rId3"/>
      <a:stretch>
        <a:fillRect/>
      </a:stretch>
    </a:blipFill>
    <a:ln w="9525" cap="flat" cmpd="sng" algn="ctr">
      <a:noFill/>
      <a:prstDash val="solid"/>
      <a:round/>
    </a:ln>
    <a:effectLst>
      <a:outerShdw blurRad="63500" dist="37357" dir="2700000" sx="0" sy="0" rotWithShape="0">
        <a:scrgbClr r="0" g="0" b="0"/>
      </a:outerShdw>
    </a:effectLst>
  </c:spPr>
  <c:txPr>
    <a:bodyPr/>
    <a:lstStyle/>
    <a:p>
      <a:pPr>
        <a:defRPr lang="zh-CN">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D3DB2-39AA-4253-8DF1-05A6F43DA6DC}">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25</Pages>
  <Words>2212</Words>
  <Characters>12614</Characters>
  <Lines>105</Lines>
  <Paragraphs>29</Paragraphs>
  <TotalTime>8</TotalTime>
  <ScaleCrop>false</ScaleCrop>
  <LinksUpToDate>false</LinksUpToDate>
  <CharactersWithSpaces>14797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2020-09-27T15:36:00Z</dcterms:created>
  <dc:creator>曹颖</dc:creator>
  <cp:lastModifiedBy>Administrator</cp:lastModifiedBy>
  <cp:lastPrinted>2020-09-28T09:40:43Z</cp:lastPrinted>
  <dcterms:modified xsi:type="dcterms:W3CDTF">2020-09-28T09:44:17Z</dcterms:modified>
  <dc:title>四川省***</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